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31687" w14:textId="70F97322" w:rsidR="00A774B7" w:rsidRPr="00417EE3" w:rsidRDefault="00417EE3" w:rsidP="00417EE3">
      <w:pPr>
        <w:jc w:val="center"/>
        <w:rPr>
          <w:rFonts w:ascii="Dante" w:hAnsi="Dante"/>
          <w:b/>
          <w:bCs/>
          <w:sz w:val="36"/>
          <w:szCs w:val="36"/>
        </w:rPr>
      </w:pPr>
      <w:r w:rsidRPr="00417EE3">
        <w:rPr>
          <w:rFonts w:ascii="Dante" w:hAnsi="Dante"/>
          <w:b/>
          <w:bCs/>
          <w:sz w:val="36"/>
          <w:szCs w:val="36"/>
        </w:rPr>
        <w:t>Predicting IBD risk from genomic data using machine learning</w:t>
      </w:r>
    </w:p>
    <w:p w14:paraId="2CC2CD0C" w14:textId="7AB02CCA" w:rsidR="00417EE3" w:rsidRPr="00417EE3" w:rsidRDefault="00417EE3" w:rsidP="00417EE3">
      <w:pPr>
        <w:jc w:val="center"/>
        <w:rPr>
          <w:rFonts w:ascii="Dante" w:hAnsi="Dante"/>
          <w:sz w:val="32"/>
          <w:szCs w:val="32"/>
        </w:rPr>
      </w:pPr>
      <w:r w:rsidRPr="00417EE3">
        <w:rPr>
          <w:rFonts w:ascii="Dante" w:hAnsi="Dante"/>
          <w:sz w:val="32"/>
          <w:szCs w:val="32"/>
        </w:rPr>
        <w:t xml:space="preserve">Samit Watve, </w:t>
      </w:r>
      <w:proofErr w:type="spellStart"/>
      <w:r w:rsidRPr="00417EE3">
        <w:rPr>
          <w:rFonts w:ascii="Dante" w:hAnsi="Dante"/>
          <w:sz w:val="32"/>
          <w:szCs w:val="32"/>
        </w:rPr>
        <w:t>BrainStation</w:t>
      </w:r>
      <w:proofErr w:type="spellEnd"/>
      <w:r w:rsidRPr="00417EE3">
        <w:rPr>
          <w:rFonts w:ascii="Dante" w:hAnsi="Dante"/>
          <w:sz w:val="32"/>
          <w:szCs w:val="32"/>
        </w:rPr>
        <w:t xml:space="preserve"> Capstone Project</w:t>
      </w:r>
    </w:p>
    <w:p w14:paraId="53B340D6" w14:textId="33ABBBF2" w:rsidR="00417EE3" w:rsidRPr="009A47DC" w:rsidRDefault="00417EE3">
      <w:pPr>
        <w:rPr>
          <w:rFonts w:ascii="Dante" w:hAnsi="Dante"/>
          <w:b/>
          <w:bCs/>
          <w:sz w:val="24"/>
          <w:szCs w:val="24"/>
        </w:rPr>
      </w:pPr>
      <w:r w:rsidRPr="009A47DC">
        <w:rPr>
          <w:rFonts w:ascii="Dante" w:hAnsi="Dante"/>
          <w:b/>
          <w:bCs/>
          <w:sz w:val="24"/>
          <w:szCs w:val="24"/>
        </w:rPr>
        <w:t>Introduction:</w:t>
      </w:r>
    </w:p>
    <w:p w14:paraId="5E56027D" w14:textId="055B0ACB" w:rsidR="00417EE3" w:rsidRPr="008C0402" w:rsidRDefault="00812593" w:rsidP="00D50C5D">
      <w:pPr>
        <w:ind w:firstLine="720"/>
        <w:jc w:val="both"/>
        <w:rPr>
          <w:rFonts w:ascii="Dante" w:hAnsi="Dante"/>
        </w:rPr>
      </w:pPr>
      <w:r w:rsidRPr="008C0402">
        <w:rPr>
          <w:rFonts w:ascii="Dante" w:hAnsi="Dante"/>
        </w:rPr>
        <w:t xml:space="preserve">Inflammatory bowel disease (IBD) is a debilitating disorder which causes severe pain, </w:t>
      </w:r>
      <w:r w:rsidR="00223DAA" w:rsidRPr="008C0402">
        <w:rPr>
          <w:rFonts w:ascii="Dante" w:hAnsi="Dante"/>
        </w:rPr>
        <w:t>inflammation,</w:t>
      </w:r>
      <w:r w:rsidRPr="008C0402">
        <w:rPr>
          <w:rFonts w:ascii="Dante" w:hAnsi="Dante"/>
        </w:rPr>
        <w:t xml:space="preserve"> and bleeding in the digestive system. </w:t>
      </w:r>
      <w:r w:rsidR="00787E9C" w:rsidRPr="008C0402">
        <w:rPr>
          <w:rFonts w:ascii="Dante" w:hAnsi="Dante"/>
        </w:rPr>
        <w:t>IBD affects 1.6 million people in North America and leads to $31B in annual healthcare costs in the US</w:t>
      </w:r>
      <w:r w:rsidR="00974E23" w:rsidRPr="008C0402">
        <w:rPr>
          <w:rFonts w:ascii="Dante" w:hAnsi="Dante"/>
        </w:rPr>
        <w:t xml:space="preserve"> [1]. </w:t>
      </w:r>
      <w:r w:rsidR="00787E9C" w:rsidRPr="008C0402">
        <w:rPr>
          <w:rFonts w:ascii="Dante" w:hAnsi="Dante"/>
        </w:rPr>
        <w:t xml:space="preserve"> </w:t>
      </w:r>
      <w:r w:rsidRPr="008C0402">
        <w:rPr>
          <w:rFonts w:ascii="Dante" w:hAnsi="Dante"/>
        </w:rPr>
        <w:t>IBD is manifested in two main varieties: Crohn</w:t>
      </w:r>
      <w:r w:rsidR="002968B2" w:rsidRPr="008C0402">
        <w:rPr>
          <w:rFonts w:ascii="Dante" w:hAnsi="Dante"/>
        </w:rPr>
        <w:t>’</w:t>
      </w:r>
      <w:r w:rsidRPr="008C0402">
        <w:rPr>
          <w:rFonts w:ascii="Dante" w:hAnsi="Dante"/>
        </w:rPr>
        <w:t>s Disease (CD) which can affect the entire digestive system and Ulcerative Colitis (UC) which is typically limited only to the large intestine (colon)</w:t>
      </w:r>
      <w:r w:rsidR="00787E9C" w:rsidRPr="008C0402">
        <w:rPr>
          <w:rFonts w:ascii="Dante" w:hAnsi="Dante"/>
        </w:rPr>
        <w:t xml:space="preserve"> </w:t>
      </w:r>
      <w:r w:rsidR="007E01EF" w:rsidRPr="008C0402">
        <w:rPr>
          <w:rFonts w:ascii="Dante" w:hAnsi="Dante"/>
        </w:rPr>
        <w:t>[2]</w:t>
      </w:r>
      <w:r w:rsidRPr="008C0402">
        <w:rPr>
          <w:rFonts w:ascii="Dante" w:hAnsi="Dante"/>
        </w:rPr>
        <w:t xml:space="preserve">. </w:t>
      </w:r>
      <w:r w:rsidR="00787E9C" w:rsidRPr="008C0402">
        <w:rPr>
          <w:rFonts w:ascii="Dante" w:hAnsi="Dante"/>
        </w:rPr>
        <w:t>The primary risk factors for developing IBD include diet, history of smoking</w:t>
      </w:r>
      <w:r w:rsidR="005565B2" w:rsidRPr="008C0402">
        <w:rPr>
          <w:rFonts w:ascii="Dante" w:hAnsi="Dante"/>
        </w:rPr>
        <w:t xml:space="preserve">, </w:t>
      </w:r>
      <w:proofErr w:type="gramStart"/>
      <w:r w:rsidR="005565B2" w:rsidRPr="008C0402">
        <w:rPr>
          <w:rFonts w:ascii="Dante" w:hAnsi="Dante"/>
        </w:rPr>
        <w:t>microbiome</w:t>
      </w:r>
      <w:proofErr w:type="gramEnd"/>
      <w:r w:rsidR="00787E9C" w:rsidRPr="008C0402">
        <w:rPr>
          <w:rFonts w:ascii="Dante" w:hAnsi="Dante"/>
        </w:rPr>
        <w:t xml:space="preserve"> and genetics</w:t>
      </w:r>
      <w:r w:rsidR="007E01EF" w:rsidRPr="008C0402">
        <w:rPr>
          <w:rFonts w:ascii="Dante" w:hAnsi="Dante"/>
        </w:rPr>
        <w:t xml:space="preserve"> [3]</w:t>
      </w:r>
      <w:r w:rsidR="00787E9C" w:rsidRPr="008C0402">
        <w:rPr>
          <w:rFonts w:ascii="Dante" w:hAnsi="Dante"/>
        </w:rPr>
        <w:t>. The motivation behind this project was to develop a predictive algorithm capable of distinguishing healthy and affected individuals based solely on genetic data</w:t>
      </w:r>
      <w:r w:rsidR="005A108B" w:rsidRPr="008C0402">
        <w:rPr>
          <w:rFonts w:ascii="Dante" w:hAnsi="Dante"/>
        </w:rPr>
        <w:t xml:space="preserve">. </w:t>
      </w:r>
      <w:r w:rsidR="00787E9C" w:rsidRPr="008C0402">
        <w:rPr>
          <w:rFonts w:ascii="Dante" w:hAnsi="Dante"/>
        </w:rPr>
        <w:t xml:space="preserve">The primary advantages of using genetic data include for this purpose include: 1) Stability of genomic information, since the genome is fixed at conception and does not change through an individual’s lifetime; 2) Availability of large, annotated genomic datasets; 3) Steadily decreasing costs of obtaining genomic information at scale. Prior studies have looked at single nucleotide polymorphism (SNP) data across the genome to look for associations between </w:t>
      </w:r>
      <w:r w:rsidR="00D50C5D" w:rsidRPr="008C0402">
        <w:rPr>
          <w:rFonts w:ascii="Dante" w:hAnsi="Dante"/>
        </w:rPr>
        <w:t>specific</w:t>
      </w:r>
      <w:r w:rsidR="00787E9C" w:rsidRPr="008C0402">
        <w:rPr>
          <w:rFonts w:ascii="Dante" w:hAnsi="Dante"/>
        </w:rPr>
        <w:t xml:space="preserve"> genes and disease risk </w:t>
      </w:r>
      <w:r w:rsidR="007E01EF" w:rsidRPr="008C0402">
        <w:rPr>
          <w:rFonts w:ascii="Dante" w:hAnsi="Dante"/>
        </w:rPr>
        <w:t>[4], [5], [6]</w:t>
      </w:r>
      <w:r w:rsidR="00787E9C" w:rsidRPr="008C0402">
        <w:rPr>
          <w:rFonts w:ascii="Dante" w:hAnsi="Dante"/>
        </w:rPr>
        <w:t xml:space="preserve">. One well known example of a gene associated with IBD </w:t>
      </w:r>
      <w:r w:rsidR="005565B2" w:rsidRPr="008C0402">
        <w:rPr>
          <w:rFonts w:ascii="Dante" w:hAnsi="Dante"/>
        </w:rPr>
        <w:t>is NOD2 which is intestinal receptor that recognizes peptidoglycans on bacterial cell surfaces and is involved in initiating inflammation when exposed to bacterial cells</w:t>
      </w:r>
      <w:r w:rsidR="007E01EF" w:rsidRPr="008C0402">
        <w:rPr>
          <w:rFonts w:ascii="Dante" w:hAnsi="Dante"/>
        </w:rPr>
        <w:t xml:space="preserve"> [7].</w:t>
      </w:r>
    </w:p>
    <w:p w14:paraId="48431DB6" w14:textId="4A207D5B" w:rsidR="00417EE3" w:rsidRPr="008C0402" w:rsidRDefault="005A108B" w:rsidP="009A47DC">
      <w:pPr>
        <w:ind w:firstLine="720"/>
        <w:jc w:val="both"/>
        <w:rPr>
          <w:rFonts w:ascii="Dante" w:hAnsi="Dante"/>
        </w:rPr>
      </w:pPr>
      <w:r w:rsidRPr="008C0402">
        <w:rPr>
          <w:rFonts w:ascii="Dante" w:hAnsi="Dante"/>
        </w:rPr>
        <w:t xml:space="preserve">Machine learning approaches have been used previously to distinguish between CD/ UC patients using SNP data with decent success </w:t>
      </w:r>
      <w:r w:rsidR="007E01EF" w:rsidRPr="008C0402">
        <w:rPr>
          <w:rFonts w:ascii="Dante" w:hAnsi="Dante"/>
        </w:rPr>
        <w:t>[8], [9].</w:t>
      </w:r>
      <w:r w:rsidRPr="008C0402">
        <w:rPr>
          <w:rFonts w:ascii="Dante" w:hAnsi="Dante"/>
        </w:rPr>
        <w:t xml:space="preserve"> However, these studies used proprietary data which is not open source and therefore difficult to replicate. </w:t>
      </w:r>
      <w:r w:rsidR="005565B2" w:rsidRPr="008C0402">
        <w:rPr>
          <w:rFonts w:ascii="Dante" w:hAnsi="Dante"/>
        </w:rPr>
        <w:t xml:space="preserve">In this project </w:t>
      </w:r>
      <w:r w:rsidR="00D50C5D" w:rsidRPr="008C0402">
        <w:rPr>
          <w:rFonts w:ascii="Dante" w:hAnsi="Dante"/>
        </w:rPr>
        <w:t xml:space="preserve">I used several binary classification algorithms for predicting whether a given individual belongs to </w:t>
      </w:r>
      <w:r w:rsidR="009A47DC" w:rsidRPr="008C0402">
        <w:rPr>
          <w:rFonts w:ascii="Dante" w:hAnsi="Dante"/>
        </w:rPr>
        <w:t>the healthy or the diseased</w:t>
      </w:r>
      <w:r w:rsidRPr="008C0402">
        <w:rPr>
          <w:rFonts w:ascii="Dante" w:hAnsi="Dante"/>
        </w:rPr>
        <w:t xml:space="preserve"> (IBD) </w:t>
      </w:r>
      <w:r w:rsidR="009A47DC" w:rsidRPr="008C0402">
        <w:rPr>
          <w:rFonts w:ascii="Dante" w:hAnsi="Dante"/>
        </w:rPr>
        <w:t>class using select SNP data as input features.</w:t>
      </w:r>
      <w:r w:rsidRPr="008C0402">
        <w:rPr>
          <w:rFonts w:ascii="Dante" w:hAnsi="Dante"/>
        </w:rPr>
        <w:t xml:space="preserve"> </w:t>
      </w:r>
      <w:r w:rsidR="009A47DC" w:rsidRPr="008C0402">
        <w:rPr>
          <w:rFonts w:ascii="Dante" w:hAnsi="Dante"/>
        </w:rPr>
        <w:t>Logistic regression and Multi-layered Perceptron models performed the best with accuracy scores ranging between ~0.81-0.84 across several trials and ROC-AUC values</w:t>
      </w:r>
      <w:r w:rsidR="00711541">
        <w:rPr>
          <w:rFonts w:ascii="Dante" w:hAnsi="Dante"/>
        </w:rPr>
        <w:t xml:space="preserve"> of</w:t>
      </w:r>
      <w:r w:rsidR="009A47DC" w:rsidRPr="008C0402">
        <w:rPr>
          <w:rFonts w:ascii="Dante" w:hAnsi="Dante"/>
        </w:rPr>
        <w:t xml:space="preserve"> ~0.9 or greater, which is higher than some previously published models</w:t>
      </w:r>
      <w:r w:rsidR="007E01EF" w:rsidRPr="008C0402">
        <w:rPr>
          <w:rFonts w:ascii="Dante" w:hAnsi="Dante"/>
        </w:rPr>
        <w:t xml:space="preserve"> [8], [9].</w:t>
      </w:r>
      <w:r w:rsidR="009A47DC" w:rsidRPr="008C0402">
        <w:rPr>
          <w:rFonts w:ascii="Dante" w:hAnsi="Dante"/>
        </w:rPr>
        <w:t xml:space="preserve"> This project demonstrates the viability of machine learning approaches for disease risk classification and adds another tool to the clinician’s toolbox.</w:t>
      </w:r>
      <w:r w:rsidRPr="008C0402">
        <w:rPr>
          <w:rFonts w:ascii="Dante" w:hAnsi="Dante"/>
        </w:rPr>
        <w:t xml:space="preserve"> Such methods will enable researchers to develop personalized interventions at an early age before disease symptoms appear.</w:t>
      </w:r>
    </w:p>
    <w:p w14:paraId="2229C835" w14:textId="49BF0355" w:rsidR="00417EE3" w:rsidRPr="009A47DC" w:rsidRDefault="00417EE3" w:rsidP="00417EE3">
      <w:pPr>
        <w:rPr>
          <w:rFonts w:ascii="Dante" w:hAnsi="Dante"/>
          <w:b/>
          <w:bCs/>
          <w:sz w:val="24"/>
          <w:szCs w:val="24"/>
        </w:rPr>
      </w:pPr>
      <w:r w:rsidRPr="009A47DC">
        <w:rPr>
          <w:rFonts w:ascii="Dante" w:hAnsi="Dante"/>
          <w:b/>
          <w:bCs/>
          <w:sz w:val="24"/>
          <w:szCs w:val="24"/>
        </w:rPr>
        <w:t>Methods:</w:t>
      </w:r>
    </w:p>
    <w:p w14:paraId="214DA781" w14:textId="4C80C12D" w:rsidR="00417EE3" w:rsidRPr="008C0402" w:rsidRDefault="00566D48" w:rsidP="00566D48">
      <w:pPr>
        <w:jc w:val="both"/>
        <w:rPr>
          <w:rFonts w:ascii="Dante" w:hAnsi="Dante"/>
        </w:rPr>
      </w:pPr>
      <w:r w:rsidRPr="008C0402">
        <w:rPr>
          <w:rFonts w:ascii="Dante" w:hAnsi="Dante"/>
        </w:rPr>
        <w:t xml:space="preserve">Data files were sourced from </w:t>
      </w:r>
      <w:hyperlink r:id="rId6" w:history="1">
        <w:r w:rsidRPr="008C0402">
          <w:rPr>
            <w:rStyle w:val="Hyperlink"/>
            <w:rFonts w:ascii="Dante" w:hAnsi="Dante"/>
          </w:rPr>
          <w:t>https://dataverse.unc.edu/dataset.xhtml?persistentId=doi:10.15139/S3/11991</w:t>
        </w:r>
      </w:hyperlink>
      <w:r w:rsidRPr="008C0402">
        <w:rPr>
          <w:rFonts w:ascii="Dante" w:hAnsi="Dante"/>
        </w:rPr>
        <w:t xml:space="preserve">, which were generated for </w:t>
      </w:r>
      <w:r w:rsidR="00943FCC" w:rsidRPr="008C0402">
        <w:rPr>
          <w:rFonts w:ascii="Dante" w:hAnsi="Dante"/>
        </w:rPr>
        <w:t>a</w:t>
      </w:r>
      <w:r w:rsidRPr="008C0402">
        <w:rPr>
          <w:rFonts w:ascii="Dante" w:hAnsi="Dante"/>
        </w:rPr>
        <w:t xml:space="preserve"> scientific study</w:t>
      </w:r>
      <w:r w:rsidR="00943FCC" w:rsidRPr="008C0402">
        <w:rPr>
          <w:rFonts w:ascii="Dante" w:hAnsi="Dante"/>
        </w:rPr>
        <w:t xml:space="preserve"> on early onset IBD in the European population </w:t>
      </w:r>
      <w:r w:rsidR="007E01EF" w:rsidRPr="008C0402">
        <w:rPr>
          <w:rFonts w:ascii="Dante" w:hAnsi="Dante"/>
        </w:rPr>
        <w:t>[10].</w:t>
      </w:r>
      <w:r w:rsidR="0043794C" w:rsidRPr="008C0402">
        <w:rPr>
          <w:rFonts w:ascii="Dante" w:hAnsi="Dante"/>
        </w:rPr>
        <w:t xml:space="preserve">This </w:t>
      </w:r>
      <w:r w:rsidR="00943FCC" w:rsidRPr="008C0402">
        <w:rPr>
          <w:rFonts w:ascii="Dante" w:hAnsi="Dante"/>
        </w:rPr>
        <w:t xml:space="preserve">dataset </w:t>
      </w:r>
      <w:r w:rsidR="0043794C" w:rsidRPr="008C0402">
        <w:rPr>
          <w:rFonts w:ascii="Dante" w:hAnsi="Dante"/>
        </w:rPr>
        <w:t>contained demographic and genetic information for 2645 patients</w:t>
      </w:r>
      <w:r w:rsidR="00292516" w:rsidRPr="008C0402">
        <w:rPr>
          <w:rFonts w:ascii="Dante" w:hAnsi="Dante"/>
        </w:rPr>
        <w:t xml:space="preserve"> which included DNA sequence information on ~200,000 single nucleotide polymorphisms (SNPs). </w:t>
      </w:r>
      <w:r w:rsidR="00417EE3" w:rsidRPr="008C0402">
        <w:rPr>
          <w:rFonts w:ascii="Dante" w:hAnsi="Dante"/>
        </w:rPr>
        <w:t>All code was written in Python v3.</w:t>
      </w:r>
      <w:r w:rsidRPr="008C0402">
        <w:rPr>
          <w:rFonts w:ascii="Dante" w:hAnsi="Dante"/>
        </w:rPr>
        <w:t>7</w:t>
      </w:r>
      <w:r w:rsidR="00417EE3" w:rsidRPr="008C0402">
        <w:rPr>
          <w:rFonts w:ascii="Dante" w:hAnsi="Dante"/>
        </w:rPr>
        <w:t>.</w:t>
      </w:r>
      <w:r w:rsidRPr="008C0402">
        <w:rPr>
          <w:rFonts w:ascii="Dante" w:hAnsi="Dante"/>
        </w:rPr>
        <w:t>8</w:t>
      </w:r>
      <w:r w:rsidR="00417EE3" w:rsidRPr="008C0402">
        <w:rPr>
          <w:rFonts w:ascii="Dante" w:hAnsi="Dante"/>
        </w:rPr>
        <w:t xml:space="preserve"> using a </w:t>
      </w:r>
      <w:proofErr w:type="spellStart"/>
      <w:r w:rsidR="00417EE3" w:rsidRPr="008C0402">
        <w:rPr>
          <w:rFonts w:ascii="Dante" w:hAnsi="Dante"/>
        </w:rPr>
        <w:t>Jupyter</w:t>
      </w:r>
      <w:proofErr w:type="spellEnd"/>
      <w:r w:rsidR="00417EE3" w:rsidRPr="008C0402">
        <w:rPr>
          <w:rFonts w:ascii="Dante" w:hAnsi="Dante"/>
        </w:rPr>
        <w:t xml:space="preserve"> lab</w:t>
      </w:r>
      <w:r w:rsidRPr="008C0402">
        <w:rPr>
          <w:rFonts w:ascii="Dante" w:hAnsi="Dante"/>
        </w:rPr>
        <w:t xml:space="preserve"> (2.2.9)</w:t>
      </w:r>
      <w:r w:rsidR="00417EE3" w:rsidRPr="008C0402">
        <w:rPr>
          <w:rFonts w:ascii="Dante" w:hAnsi="Dante"/>
        </w:rPr>
        <w:t xml:space="preserve"> environment. Data cleaning, pre-processing and visualization was performed using data science packages such as pandas</w:t>
      </w:r>
      <w:r w:rsidRPr="008C0402">
        <w:rPr>
          <w:rFonts w:ascii="Dante" w:hAnsi="Dante"/>
        </w:rPr>
        <w:t xml:space="preserve"> (1.1.4)</w:t>
      </w:r>
      <w:r w:rsidR="00417EE3" w:rsidRPr="008C0402">
        <w:rPr>
          <w:rFonts w:ascii="Dante" w:hAnsi="Dante"/>
        </w:rPr>
        <w:t xml:space="preserve">, </w:t>
      </w:r>
      <w:proofErr w:type="spellStart"/>
      <w:r w:rsidR="00417EE3" w:rsidRPr="008C0402">
        <w:rPr>
          <w:rFonts w:ascii="Dante" w:hAnsi="Dante"/>
        </w:rPr>
        <w:t>numpy</w:t>
      </w:r>
      <w:proofErr w:type="spellEnd"/>
      <w:r w:rsidRPr="008C0402">
        <w:rPr>
          <w:rFonts w:ascii="Dante" w:hAnsi="Dante"/>
        </w:rPr>
        <w:t xml:space="preserve"> (1.19.4)</w:t>
      </w:r>
      <w:r w:rsidR="00417EE3" w:rsidRPr="008C0402">
        <w:rPr>
          <w:rFonts w:ascii="Dante" w:hAnsi="Dante"/>
        </w:rPr>
        <w:t>, matplotlib</w:t>
      </w:r>
      <w:r w:rsidRPr="008C0402">
        <w:rPr>
          <w:rFonts w:ascii="Dante" w:hAnsi="Dante"/>
        </w:rPr>
        <w:t xml:space="preserve"> (3.3.3)</w:t>
      </w:r>
      <w:r w:rsidR="00417EE3" w:rsidRPr="008C0402">
        <w:rPr>
          <w:rFonts w:ascii="Dante" w:hAnsi="Dante"/>
        </w:rPr>
        <w:t xml:space="preserve"> and seaborn</w:t>
      </w:r>
      <w:r w:rsidRPr="008C0402">
        <w:rPr>
          <w:rFonts w:ascii="Dante" w:hAnsi="Dante"/>
        </w:rPr>
        <w:t xml:space="preserve"> (0.11.0)</w:t>
      </w:r>
      <w:r w:rsidR="00417EE3" w:rsidRPr="008C0402">
        <w:rPr>
          <w:rFonts w:ascii="Dante" w:hAnsi="Dante"/>
        </w:rPr>
        <w:t>, and machine learning was performed using sci-</w:t>
      </w:r>
      <w:proofErr w:type="spellStart"/>
      <w:r w:rsidR="00417EE3" w:rsidRPr="008C0402">
        <w:rPr>
          <w:rFonts w:ascii="Dante" w:hAnsi="Dante"/>
        </w:rPr>
        <w:t>kitlearn</w:t>
      </w:r>
      <w:proofErr w:type="spellEnd"/>
      <w:r w:rsidRPr="008C0402">
        <w:rPr>
          <w:rFonts w:ascii="Dante" w:hAnsi="Dante"/>
        </w:rPr>
        <w:t xml:space="preserve"> (0.23.2)</w:t>
      </w:r>
      <w:r w:rsidR="0043794C" w:rsidRPr="008C0402">
        <w:rPr>
          <w:rFonts w:ascii="Dante" w:hAnsi="Dante"/>
        </w:rPr>
        <w:t xml:space="preserve"> or </w:t>
      </w:r>
      <w:proofErr w:type="spellStart"/>
      <w:r w:rsidR="0043794C" w:rsidRPr="008C0402">
        <w:rPr>
          <w:rFonts w:ascii="Dante" w:hAnsi="Dante"/>
        </w:rPr>
        <w:t>xgboost</w:t>
      </w:r>
      <w:proofErr w:type="spellEnd"/>
      <w:r w:rsidR="0043794C" w:rsidRPr="008C0402">
        <w:rPr>
          <w:rFonts w:ascii="Dante" w:hAnsi="Dante"/>
        </w:rPr>
        <w:t>(1.3.</w:t>
      </w:r>
      <w:proofErr w:type="gramStart"/>
      <w:r w:rsidR="0043794C" w:rsidRPr="008C0402">
        <w:rPr>
          <w:rFonts w:ascii="Dante" w:hAnsi="Dante"/>
        </w:rPr>
        <w:t>0.post</w:t>
      </w:r>
      <w:proofErr w:type="gramEnd"/>
      <w:r w:rsidR="0043794C" w:rsidRPr="008C0402">
        <w:rPr>
          <w:rFonts w:ascii="Dante" w:hAnsi="Dante"/>
        </w:rPr>
        <w:t>0)</w:t>
      </w:r>
      <w:r w:rsidRPr="008C0402">
        <w:rPr>
          <w:rFonts w:ascii="Dante" w:hAnsi="Dante"/>
        </w:rPr>
        <w:t>.</w:t>
      </w:r>
      <w:r w:rsidR="000B5B8B" w:rsidRPr="008C0402">
        <w:rPr>
          <w:rFonts w:ascii="Dante" w:hAnsi="Dante"/>
        </w:rPr>
        <w:t xml:space="preserve"> </w:t>
      </w:r>
      <w:r w:rsidR="0043794C" w:rsidRPr="008C0402">
        <w:rPr>
          <w:rFonts w:ascii="Dante" w:hAnsi="Dante"/>
        </w:rPr>
        <w:t xml:space="preserve">After initial EDA and data cleaning, </w:t>
      </w:r>
      <w:r w:rsidR="000B5B8B" w:rsidRPr="008C0402">
        <w:rPr>
          <w:rFonts w:ascii="Dante" w:hAnsi="Dante"/>
        </w:rPr>
        <w:t>SNP filtering was performed using a custom data cleaning script that performed over 100,000 chi-squared test</w:t>
      </w:r>
      <w:r w:rsidR="00D248C9" w:rsidRPr="008C0402">
        <w:rPr>
          <w:rFonts w:ascii="Dante" w:hAnsi="Dante"/>
        </w:rPr>
        <w:t xml:space="preserve">s using the </w:t>
      </w:r>
      <w:proofErr w:type="spellStart"/>
      <w:proofErr w:type="gramStart"/>
      <w:r w:rsidR="00D248C9" w:rsidRPr="008C0402">
        <w:rPr>
          <w:rFonts w:ascii="Dante" w:hAnsi="Dante"/>
        </w:rPr>
        <w:t>scipy.stats</w:t>
      </w:r>
      <w:proofErr w:type="spellEnd"/>
      <w:proofErr w:type="gramEnd"/>
      <w:r w:rsidR="00D248C9" w:rsidRPr="008C0402">
        <w:rPr>
          <w:rFonts w:ascii="Dante" w:hAnsi="Dante"/>
        </w:rPr>
        <w:t xml:space="preserve"> (1.4.1) module</w:t>
      </w:r>
      <w:r w:rsidR="0043794C" w:rsidRPr="008C0402">
        <w:rPr>
          <w:rFonts w:ascii="Dante" w:hAnsi="Dante"/>
        </w:rPr>
        <w:t xml:space="preserve">. Only the </w:t>
      </w:r>
      <w:r w:rsidR="00292516" w:rsidRPr="008C0402">
        <w:rPr>
          <w:rFonts w:ascii="Dante" w:hAnsi="Dante"/>
        </w:rPr>
        <w:t>top features</w:t>
      </w:r>
      <w:r w:rsidR="0043794C" w:rsidRPr="008C0402">
        <w:rPr>
          <w:rFonts w:ascii="Dante" w:hAnsi="Dante"/>
        </w:rPr>
        <w:t xml:space="preserve"> that had a p-value (&lt; 1e-7) were retained for further analysis. All features in the dataset such as </w:t>
      </w:r>
      <w:r w:rsidR="00292516" w:rsidRPr="008C0402">
        <w:rPr>
          <w:rFonts w:ascii="Dante" w:hAnsi="Dante"/>
        </w:rPr>
        <w:t>g</w:t>
      </w:r>
      <w:r w:rsidR="0043794C" w:rsidRPr="008C0402">
        <w:rPr>
          <w:rFonts w:ascii="Dante" w:hAnsi="Dante"/>
        </w:rPr>
        <w:t xml:space="preserve">ender, the target healthy / disease class and the </w:t>
      </w:r>
      <w:r w:rsidR="00292516" w:rsidRPr="008C0402">
        <w:rPr>
          <w:rFonts w:ascii="Dante" w:hAnsi="Dante"/>
        </w:rPr>
        <w:t>retained</w:t>
      </w:r>
      <w:r w:rsidR="0043794C" w:rsidRPr="008C0402">
        <w:rPr>
          <w:rFonts w:ascii="Dante" w:hAnsi="Dante"/>
        </w:rPr>
        <w:t xml:space="preserve"> SNP features were One-Hot encoded thereby eliminating the need for feature scaling. Since p-value filtering already reduced the dataset down to a small number of features, further dimensionality reduction was not implemented. Several binary classification algorithms </w:t>
      </w:r>
      <w:r w:rsidR="007D34CF" w:rsidRPr="008C0402">
        <w:rPr>
          <w:rFonts w:ascii="Dante" w:hAnsi="Dante"/>
        </w:rPr>
        <w:t>such as</w:t>
      </w:r>
      <w:r w:rsidR="0043794C" w:rsidRPr="008C0402">
        <w:rPr>
          <w:rFonts w:ascii="Dante" w:hAnsi="Dante"/>
        </w:rPr>
        <w:t xml:space="preserve"> </w:t>
      </w:r>
      <w:r w:rsidR="00292516" w:rsidRPr="008C0402">
        <w:rPr>
          <w:rFonts w:ascii="Dante" w:hAnsi="Dante"/>
        </w:rPr>
        <w:t>l</w:t>
      </w:r>
      <w:r w:rsidR="0043794C" w:rsidRPr="008C0402">
        <w:rPr>
          <w:rFonts w:ascii="Dante" w:hAnsi="Dante"/>
        </w:rPr>
        <w:t xml:space="preserve">ogistic </w:t>
      </w:r>
      <w:r w:rsidR="00292516" w:rsidRPr="008C0402">
        <w:rPr>
          <w:rFonts w:ascii="Dante" w:hAnsi="Dante"/>
        </w:rPr>
        <w:t>r</w:t>
      </w:r>
      <w:r w:rsidR="0043794C" w:rsidRPr="008C0402">
        <w:rPr>
          <w:rFonts w:ascii="Dante" w:hAnsi="Dante"/>
        </w:rPr>
        <w:t xml:space="preserve">egression, </w:t>
      </w:r>
      <w:r w:rsidR="00292516" w:rsidRPr="008C0402">
        <w:rPr>
          <w:rFonts w:ascii="Dante" w:hAnsi="Dante"/>
        </w:rPr>
        <w:t>m</w:t>
      </w:r>
      <w:r w:rsidR="0043794C" w:rsidRPr="008C0402">
        <w:rPr>
          <w:rFonts w:ascii="Dante" w:hAnsi="Dante"/>
        </w:rPr>
        <w:t xml:space="preserve">ulti-layer perceptron, </w:t>
      </w:r>
      <w:proofErr w:type="spellStart"/>
      <w:r w:rsidR="00292516" w:rsidRPr="008C0402">
        <w:rPr>
          <w:rFonts w:ascii="Dante" w:hAnsi="Dante"/>
        </w:rPr>
        <w:lastRenderedPageBreak/>
        <w:t>x</w:t>
      </w:r>
      <w:r w:rsidR="0043794C" w:rsidRPr="008C0402">
        <w:rPr>
          <w:rFonts w:ascii="Dante" w:hAnsi="Dante"/>
        </w:rPr>
        <w:t>gboost</w:t>
      </w:r>
      <w:proofErr w:type="spellEnd"/>
      <w:r w:rsidR="0043794C" w:rsidRPr="008C0402">
        <w:rPr>
          <w:rFonts w:ascii="Dante" w:hAnsi="Dante"/>
        </w:rPr>
        <w:t xml:space="preserve">, KNN </w:t>
      </w:r>
      <w:proofErr w:type="spellStart"/>
      <w:r w:rsidR="0043794C" w:rsidRPr="008C0402">
        <w:rPr>
          <w:rFonts w:ascii="Dante" w:hAnsi="Dante"/>
        </w:rPr>
        <w:t>etc</w:t>
      </w:r>
      <w:proofErr w:type="spellEnd"/>
      <w:r w:rsidR="007D34CF" w:rsidRPr="008C0402">
        <w:rPr>
          <w:rFonts w:ascii="Dante" w:hAnsi="Dante"/>
        </w:rPr>
        <w:t xml:space="preserve"> were trained using 85% of the data</w:t>
      </w:r>
      <w:r w:rsidR="0043794C" w:rsidRPr="008C0402">
        <w:rPr>
          <w:rFonts w:ascii="Dante" w:hAnsi="Dante"/>
        </w:rPr>
        <w:t xml:space="preserve"> and scored for their ability to correctly predict</w:t>
      </w:r>
      <w:r w:rsidR="00292516" w:rsidRPr="008C0402">
        <w:rPr>
          <w:rFonts w:ascii="Dante" w:hAnsi="Dante"/>
        </w:rPr>
        <w:t xml:space="preserve"> healthy or diseased individuals from the test set (15% of the data). </w:t>
      </w:r>
      <w:r w:rsidR="007D34CF" w:rsidRPr="008C0402">
        <w:rPr>
          <w:rFonts w:ascii="Dante" w:hAnsi="Dante"/>
        </w:rPr>
        <w:t xml:space="preserve">Hyperparameter tuning was performed using </w:t>
      </w:r>
      <w:proofErr w:type="spellStart"/>
      <w:r w:rsidR="007D34CF" w:rsidRPr="008C0402">
        <w:rPr>
          <w:rFonts w:ascii="Dante" w:hAnsi="Dante"/>
        </w:rPr>
        <w:t>gridsearchCV</w:t>
      </w:r>
      <w:proofErr w:type="spellEnd"/>
      <w:r w:rsidR="007D34CF" w:rsidRPr="008C0402">
        <w:rPr>
          <w:rFonts w:ascii="Dante" w:hAnsi="Dante"/>
        </w:rPr>
        <w:t xml:space="preserve"> using 5-fold cross-validation. </w:t>
      </w:r>
      <w:r w:rsidR="00292516" w:rsidRPr="008C0402">
        <w:rPr>
          <w:rFonts w:ascii="Dante" w:hAnsi="Dante"/>
        </w:rPr>
        <w:t>Models were also evaluated using precision</w:t>
      </w:r>
      <w:r w:rsidR="00711541">
        <w:rPr>
          <w:rFonts w:ascii="Dante" w:hAnsi="Dante"/>
        </w:rPr>
        <w:t xml:space="preserve">, </w:t>
      </w:r>
      <w:r w:rsidR="00292516" w:rsidRPr="008C0402">
        <w:rPr>
          <w:rFonts w:ascii="Dante" w:hAnsi="Dante"/>
        </w:rPr>
        <w:t xml:space="preserve">recall </w:t>
      </w:r>
      <w:r w:rsidR="00711541">
        <w:rPr>
          <w:rFonts w:ascii="Dante" w:hAnsi="Dante"/>
        </w:rPr>
        <w:t xml:space="preserve">and ROC-AUC </w:t>
      </w:r>
      <w:r w:rsidR="00292516" w:rsidRPr="008C0402">
        <w:rPr>
          <w:rFonts w:ascii="Dante" w:hAnsi="Dante"/>
        </w:rPr>
        <w:t>metrics.</w:t>
      </w:r>
    </w:p>
    <w:p w14:paraId="423FA5BD" w14:textId="0F889C32" w:rsidR="00417EE3" w:rsidRDefault="00292516">
      <w:pPr>
        <w:rPr>
          <w:rFonts w:ascii="Dante" w:hAnsi="Dante"/>
          <w:b/>
          <w:bCs/>
          <w:sz w:val="24"/>
          <w:szCs w:val="24"/>
        </w:rPr>
      </w:pPr>
      <w:r w:rsidRPr="009A47DC">
        <w:rPr>
          <w:rFonts w:ascii="Dante" w:hAnsi="Dante"/>
          <w:b/>
          <w:bCs/>
          <w:sz w:val="24"/>
          <w:szCs w:val="24"/>
        </w:rPr>
        <w:t>Results</w:t>
      </w:r>
      <w:r w:rsidR="00223DAA">
        <w:rPr>
          <w:rFonts w:ascii="Dante" w:hAnsi="Dante"/>
          <w:b/>
          <w:bCs/>
          <w:sz w:val="24"/>
          <w:szCs w:val="24"/>
        </w:rPr>
        <w:t xml:space="preserve"> and discussion</w:t>
      </w:r>
      <w:r w:rsidR="007D34CF" w:rsidRPr="009A47DC">
        <w:rPr>
          <w:rFonts w:ascii="Dante" w:hAnsi="Dante"/>
          <w:b/>
          <w:bCs/>
          <w:sz w:val="24"/>
          <w:szCs w:val="24"/>
        </w:rPr>
        <w:t>:</w:t>
      </w:r>
    </w:p>
    <w:p w14:paraId="46E304B2" w14:textId="00D9695D" w:rsidR="001B3969" w:rsidRPr="008C0402" w:rsidRDefault="001B3969" w:rsidP="00DB3BAB">
      <w:pPr>
        <w:jc w:val="both"/>
        <w:rPr>
          <w:rFonts w:ascii="Dante" w:hAnsi="Dante"/>
        </w:rPr>
      </w:pPr>
      <w:r w:rsidRPr="008C0402">
        <w:rPr>
          <w:rFonts w:ascii="Dante" w:hAnsi="Dante"/>
          <w:noProof/>
        </w:rPr>
        <w:drawing>
          <wp:anchor distT="0" distB="0" distL="114300" distR="114300" simplePos="0" relativeHeight="251658240" behindDoc="1" locked="0" layoutInCell="1" allowOverlap="1" wp14:anchorId="01158F17" wp14:editId="06471922">
            <wp:simplePos x="0" y="0"/>
            <wp:positionH relativeFrom="margin">
              <wp:align>left</wp:align>
            </wp:positionH>
            <wp:positionV relativeFrom="paragraph">
              <wp:posOffset>438377</wp:posOffset>
            </wp:positionV>
            <wp:extent cx="4311650" cy="3329940"/>
            <wp:effectExtent l="0" t="0" r="0" b="3810"/>
            <wp:wrapTight wrapText="bothSides">
              <wp:wrapPolygon edited="0">
                <wp:start x="859" y="0"/>
                <wp:lineTo x="191" y="494"/>
                <wp:lineTo x="191" y="989"/>
                <wp:lineTo x="859" y="1977"/>
                <wp:lineTo x="859" y="9886"/>
                <wp:lineTo x="382" y="9886"/>
                <wp:lineTo x="191" y="10380"/>
                <wp:lineTo x="954" y="11863"/>
                <wp:lineTo x="954" y="18535"/>
                <wp:lineTo x="7253" y="19771"/>
                <wp:lineTo x="10689" y="19771"/>
                <wp:lineTo x="10689" y="21501"/>
                <wp:lineTo x="21473" y="21501"/>
                <wp:lineTo x="21473" y="0"/>
                <wp:lineTo x="859"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4414" cy="3355196"/>
                    </a:xfrm>
                    <a:prstGeom prst="rect">
                      <a:avLst/>
                    </a:prstGeom>
                    <a:noFill/>
                  </pic:spPr>
                </pic:pic>
              </a:graphicData>
            </a:graphic>
            <wp14:sizeRelH relativeFrom="page">
              <wp14:pctWidth>0</wp14:pctWidth>
            </wp14:sizeRelH>
            <wp14:sizeRelV relativeFrom="page">
              <wp14:pctHeight>0</wp14:pctHeight>
            </wp14:sizeRelV>
          </wp:anchor>
        </w:drawing>
      </w:r>
      <w:r w:rsidR="00943FCC" w:rsidRPr="008C0402">
        <w:rPr>
          <w:rFonts w:ascii="Dante" w:hAnsi="Dante"/>
        </w:rPr>
        <w:t xml:space="preserve">After implementing the data cleaning and processing pipeline, the number of SNP features was reduced from 196523 to just 413 features that had statistically significant associations between a given SNP and the healthy or the diseased class (fig 1A; gold dots). </w:t>
      </w:r>
      <w:r w:rsidRPr="008C0402">
        <w:rPr>
          <w:rFonts w:ascii="Dante" w:hAnsi="Dante"/>
        </w:rPr>
        <w:t xml:space="preserve">The features that were retained were distributed across the entire genome, however a few hotspots were observed </w:t>
      </w:r>
      <w:r w:rsidR="00B6744B" w:rsidRPr="008C0402">
        <w:rPr>
          <w:rFonts w:ascii="Dante" w:hAnsi="Dante"/>
        </w:rPr>
        <w:t xml:space="preserve">on chromosomes 1, 8, 12, 19 and </w:t>
      </w:r>
      <w:proofErr w:type="gramStart"/>
      <w:r w:rsidR="00B6744B" w:rsidRPr="008C0402">
        <w:rPr>
          <w:rFonts w:ascii="Dante" w:hAnsi="Dante"/>
        </w:rPr>
        <w:t>Y</w:t>
      </w:r>
      <w:proofErr w:type="gramEnd"/>
      <w:r w:rsidR="00B6744B" w:rsidRPr="008C0402">
        <w:rPr>
          <w:rFonts w:ascii="Dante" w:hAnsi="Dante"/>
        </w:rPr>
        <w:t xml:space="preserve"> respectively. Given the aggregation of features</w:t>
      </w:r>
      <w:r w:rsidR="00080F98" w:rsidRPr="008C0402">
        <w:rPr>
          <w:rFonts w:ascii="Dante" w:hAnsi="Dante"/>
        </w:rPr>
        <w:t xml:space="preserve"> on the Y chromosome, I postulated that gender might play a significant role in determining disease risk.</w:t>
      </w:r>
      <w:r w:rsidR="00B6744B" w:rsidRPr="008C0402">
        <w:rPr>
          <w:rFonts w:ascii="Dante" w:hAnsi="Dante"/>
        </w:rPr>
        <w:t xml:space="preserve">  However, there was no statistically significant difference </w:t>
      </w:r>
      <w:r w:rsidR="00080F98" w:rsidRPr="008C0402">
        <w:rPr>
          <w:rFonts w:ascii="Dante" w:hAnsi="Dante"/>
        </w:rPr>
        <w:t xml:space="preserve">observed </w:t>
      </w:r>
      <w:r w:rsidR="00B6744B" w:rsidRPr="008C0402">
        <w:rPr>
          <w:rFonts w:ascii="Dante" w:hAnsi="Dante"/>
        </w:rPr>
        <w:t xml:space="preserve">in disease predilection for either gender (data not shown). </w:t>
      </w:r>
      <w:r w:rsidR="00080F98" w:rsidRPr="008C0402">
        <w:rPr>
          <w:rFonts w:ascii="Dante" w:hAnsi="Dante"/>
        </w:rPr>
        <w:t>Machine learning models are highly sensitive to the number of input features that are used for model training. Therefore, the number of features to be included</w:t>
      </w:r>
      <w:r w:rsidR="006461BA" w:rsidRPr="008C0402">
        <w:rPr>
          <w:rFonts w:ascii="Dante" w:hAnsi="Dante"/>
        </w:rPr>
        <w:t>,</w:t>
      </w:r>
      <w:r w:rsidR="00080F98" w:rsidRPr="008C0402">
        <w:rPr>
          <w:rFonts w:ascii="Dante" w:hAnsi="Dante"/>
        </w:rPr>
        <w:t xml:space="preserve"> is a tunable parameter in the context of machine learning. </w:t>
      </w:r>
      <w:r w:rsidR="0049051D" w:rsidRPr="008C0402">
        <w:rPr>
          <w:rFonts w:ascii="Dante" w:hAnsi="Dante"/>
        </w:rPr>
        <w:t>For this dataset t</w:t>
      </w:r>
      <w:r w:rsidR="00080F98" w:rsidRPr="008C0402">
        <w:rPr>
          <w:rFonts w:ascii="Dante" w:hAnsi="Dante"/>
        </w:rPr>
        <w:t>here is a direct relationship between the number of features retained and the p-value cutoff</w:t>
      </w:r>
      <w:r w:rsidR="0049051D" w:rsidRPr="008C0402">
        <w:rPr>
          <w:rFonts w:ascii="Dante" w:hAnsi="Dante"/>
        </w:rPr>
        <w:t xml:space="preserve"> (fig 1B)</w:t>
      </w:r>
      <w:r w:rsidR="00080F98" w:rsidRPr="008C0402">
        <w:rPr>
          <w:rFonts w:ascii="Dante" w:hAnsi="Dante"/>
        </w:rPr>
        <w:t xml:space="preserve">. </w:t>
      </w:r>
      <w:r w:rsidRPr="008C0402">
        <w:rPr>
          <w:rFonts w:ascii="Dante" w:hAnsi="Dante"/>
        </w:rPr>
        <w:t xml:space="preserve">By using a stricter </w:t>
      </w:r>
      <w:r w:rsidR="00080F98" w:rsidRPr="008C0402">
        <w:rPr>
          <w:rFonts w:ascii="Dante" w:hAnsi="Dante"/>
        </w:rPr>
        <w:t>cut-off,</w:t>
      </w:r>
      <w:r w:rsidRPr="008C0402">
        <w:rPr>
          <w:rFonts w:ascii="Dante" w:hAnsi="Dante"/>
        </w:rPr>
        <w:t xml:space="preserve"> we can further restrict the number of features that go into the model fitting pipeline.</w:t>
      </w:r>
      <w:r w:rsidR="0049051D" w:rsidRPr="008C0402">
        <w:rPr>
          <w:rFonts w:ascii="Dante" w:hAnsi="Dante"/>
        </w:rPr>
        <w:t xml:space="preserve"> </w:t>
      </w:r>
      <w:r w:rsidR="006461BA" w:rsidRPr="008C0402">
        <w:rPr>
          <w:rFonts w:ascii="Dante" w:hAnsi="Dante"/>
        </w:rPr>
        <w:t xml:space="preserve">In my experiments, the use of a less stringent </w:t>
      </w:r>
      <w:r w:rsidR="0049051D" w:rsidRPr="008C0402">
        <w:rPr>
          <w:rFonts w:ascii="Dante" w:hAnsi="Dante"/>
        </w:rPr>
        <w:t>p-value cutoff (</w:t>
      </w:r>
      <w:r w:rsidR="008C0402" w:rsidRPr="008C0402">
        <w:rPr>
          <w:rFonts w:ascii="Dante" w:hAnsi="Dante"/>
        </w:rPr>
        <w:t>i.e.,</w:t>
      </w:r>
      <w:r w:rsidR="006461BA" w:rsidRPr="008C0402">
        <w:rPr>
          <w:rFonts w:ascii="Dante" w:hAnsi="Dante"/>
        </w:rPr>
        <w:t xml:space="preserve"> </w:t>
      </w:r>
      <w:r w:rsidR="0049051D" w:rsidRPr="008C0402">
        <w:rPr>
          <w:rFonts w:ascii="Dante" w:hAnsi="Dante"/>
        </w:rPr>
        <w:t>a higher number of features) did not significantly improve model accuracy (data not shown)</w:t>
      </w:r>
      <w:r w:rsidR="003518FB" w:rsidRPr="008C0402">
        <w:rPr>
          <w:rFonts w:ascii="Dante" w:hAnsi="Dante"/>
        </w:rPr>
        <w:t xml:space="preserve">. Indeed, using a </w:t>
      </w:r>
      <w:r w:rsidR="0049051D" w:rsidRPr="008C0402">
        <w:rPr>
          <w:rFonts w:ascii="Dante" w:hAnsi="Dante"/>
        </w:rPr>
        <w:t>high number of features led to overfitting on the training data</w:t>
      </w:r>
      <w:r w:rsidR="003518FB" w:rsidRPr="008C0402">
        <w:rPr>
          <w:rFonts w:ascii="Dante" w:hAnsi="Dante"/>
        </w:rPr>
        <w:t>,</w:t>
      </w:r>
      <w:r w:rsidR="0049051D" w:rsidRPr="008C0402">
        <w:rPr>
          <w:rFonts w:ascii="Dante" w:hAnsi="Dante"/>
        </w:rPr>
        <w:t xml:space="preserve"> a</w:t>
      </w:r>
      <w:r w:rsidR="003518FB" w:rsidRPr="008C0402">
        <w:rPr>
          <w:rFonts w:ascii="Dante" w:hAnsi="Dante"/>
        </w:rPr>
        <w:t>s well as</w:t>
      </w:r>
      <w:r w:rsidR="0049051D" w:rsidRPr="008C0402">
        <w:rPr>
          <w:rFonts w:ascii="Dante" w:hAnsi="Dante"/>
        </w:rPr>
        <w:t xml:space="preserve"> poor accuracy scores on the </w:t>
      </w:r>
      <w:r w:rsidR="003518FB" w:rsidRPr="008C0402">
        <w:rPr>
          <w:rFonts w:ascii="Dante" w:hAnsi="Dante"/>
        </w:rPr>
        <w:t xml:space="preserve">validation </w:t>
      </w:r>
      <w:r w:rsidR="0049051D" w:rsidRPr="008C0402">
        <w:rPr>
          <w:rFonts w:ascii="Dante" w:hAnsi="Dante"/>
        </w:rPr>
        <w:t xml:space="preserve">data. Therefore, </w:t>
      </w:r>
      <w:r w:rsidR="003F5DE3">
        <w:rPr>
          <w:rFonts w:ascii="Dante" w:hAnsi="Dante"/>
        </w:rPr>
        <w:t xml:space="preserve">only </w:t>
      </w:r>
      <w:r w:rsidR="0049051D" w:rsidRPr="008C0402">
        <w:rPr>
          <w:rFonts w:ascii="Dante" w:hAnsi="Dante"/>
        </w:rPr>
        <w:t xml:space="preserve">these 413 </w:t>
      </w:r>
      <w:r w:rsidR="006461BA" w:rsidRPr="008C0402">
        <w:rPr>
          <w:rFonts w:ascii="Dante" w:hAnsi="Dante"/>
        </w:rPr>
        <w:t>features were used for</w:t>
      </w:r>
      <w:r w:rsidR="003518FB" w:rsidRPr="008C0402">
        <w:rPr>
          <w:rFonts w:ascii="Dante" w:hAnsi="Dante"/>
        </w:rPr>
        <w:t xml:space="preserve"> further optimization steps</w:t>
      </w:r>
      <w:r w:rsidR="006461BA" w:rsidRPr="008C0402">
        <w:rPr>
          <w:rFonts w:ascii="Dante" w:hAnsi="Dante"/>
        </w:rPr>
        <w:t>. This process involved</w:t>
      </w:r>
      <w:r w:rsidRPr="008C0402">
        <w:rPr>
          <w:rFonts w:ascii="Dante" w:hAnsi="Dante"/>
        </w:rPr>
        <w:t xml:space="preserve"> </w:t>
      </w:r>
      <w:r w:rsidR="006461BA" w:rsidRPr="008C0402">
        <w:rPr>
          <w:rFonts w:ascii="Dante" w:hAnsi="Dante"/>
        </w:rPr>
        <w:t xml:space="preserve">iterating over a range of </w:t>
      </w:r>
      <w:r w:rsidRPr="008C0402">
        <w:rPr>
          <w:rFonts w:ascii="Dante" w:hAnsi="Dante"/>
        </w:rPr>
        <w:t xml:space="preserve">hyperparameters </w:t>
      </w:r>
      <w:r w:rsidR="006461BA" w:rsidRPr="008C0402">
        <w:rPr>
          <w:rFonts w:ascii="Dante" w:hAnsi="Dante"/>
        </w:rPr>
        <w:t>pertaining to several</w:t>
      </w:r>
      <w:r w:rsidRPr="008C0402">
        <w:rPr>
          <w:rFonts w:ascii="Dante" w:hAnsi="Dante"/>
        </w:rPr>
        <w:t xml:space="preserve"> binary classification </w:t>
      </w:r>
      <w:r w:rsidR="00B6744B" w:rsidRPr="008C0402">
        <w:rPr>
          <w:rFonts w:ascii="Dante" w:hAnsi="Dante"/>
        </w:rPr>
        <w:t>algorithms</w:t>
      </w:r>
      <w:r w:rsidR="006461BA" w:rsidRPr="008C0402">
        <w:rPr>
          <w:rFonts w:ascii="Dante" w:hAnsi="Dante"/>
        </w:rPr>
        <w:t>. M</w:t>
      </w:r>
      <w:r w:rsidR="00B6744B" w:rsidRPr="008C0402">
        <w:rPr>
          <w:rFonts w:ascii="Dante" w:hAnsi="Dante"/>
        </w:rPr>
        <w:t>odels that obtained the highest prediction accuracy scores after 5-fold cross validation were retained for further analysis. Across multiple trials, Logistic regression ('C': 1.0, 'penalty': 'l2', 'solver': '</w:t>
      </w:r>
      <w:proofErr w:type="spellStart"/>
      <w:r w:rsidR="00B6744B" w:rsidRPr="008C0402">
        <w:rPr>
          <w:rFonts w:ascii="Dante" w:hAnsi="Dante"/>
        </w:rPr>
        <w:t>lbfgs</w:t>
      </w:r>
      <w:proofErr w:type="spellEnd"/>
      <w:r w:rsidR="00B6744B" w:rsidRPr="008C0402">
        <w:rPr>
          <w:rFonts w:ascii="Dante" w:hAnsi="Dante"/>
        </w:rPr>
        <w:t>') and Multi-layered Perceptron ('alpha': 0.1, '</w:t>
      </w:r>
      <w:proofErr w:type="spellStart"/>
      <w:r w:rsidR="00B6744B" w:rsidRPr="008C0402">
        <w:rPr>
          <w:rFonts w:ascii="Dante" w:hAnsi="Dante"/>
        </w:rPr>
        <w:t>hidden_layer_sizes</w:t>
      </w:r>
      <w:proofErr w:type="spellEnd"/>
      <w:r w:rsidR="00B6744B" w:rsidRPr="008C0402">
        <w:rPr>
          <w:rFonts w:ascii="Dante" w:hAnsi="Dante"/>
        </w:rPr>
        <w:t>': 10, '</w:t>
      </w:r>
      <w:proofErr w:type="spellStart"/>
      <w:r w:rsidR="00B6744B" w:rsidRPr="008C0402">
        <w:rPr>
          <w:rFonts w:ascii="Dante" w:hAnsi="Dante"/>
        </w:rPr>
        <w:t>max_iter</w:t>
      </w:r>
      <w:proofErr w:type="spellEnd"/>
      <w:r w:rsidR="00B6744B" w:rsidRPr="008C0402">
        <w:rPr>
          <w:rFonts w:ascii="Dante" w:hAnsi="Dante"/>
        </w:rPr>
        <w:t>': 1250, 'solver': '</w:t>
      </w:r>
      <w:proofErr w:type="spellStart"/>
      <w:r w:rsidR="00B6744B" w:rsidRPr="008C0402">
        <w:rPr>
          <w:rFonts w:ascii="Dante" w:hAnsi="Dante"/>
        </w:rPr>
        <w:t>sgd</w:t>
      </w:r>
      <w:proofErr w:type="spellEnd"/>
      <w:r w:rsidR="00B6744B" w:rsidRPr="008C0402">
        <w:rPr>
          <w:rFonts w:ascii="Dante" w:hAnsi="Dante"/>
        </w:rPr>
        <w:t>') models consistently performed the best with accuracy scores ranging between ~0.81-0.84 (see table 1 below</w:t>
      </w:r>
      <w:r w:rsidR="0049051D" w:rsidRPr="008C0402">
        <w:rPr>
          <w:rFonts w:ascii="Dante" w:hAnsi="Dante"/>
        </w:rPr>
        <w:t xml:space="preserve"> for a full summary</w:t>
      </w:r>
      <w:r w:rsidR="00B6744B" w:rsidRPr="008C0402">
        <w:rPr>
          <w:rFonts w:ascii="Dante" w:hAnsi="Dante"/>
        </w:rPr>
        <w:t xml:space="preserve">). </w:t>
      </w:r>
      <w:r w:rsidR="0049051D" w:rsidRPr="008C0402">
        <w:rPr>
          <w:rFonts w:ascii="Dante" w:hAnsi="Dante"/>
        </w:rPr>
        <w:t xml:space="preserve">The preferred metric for evaluating model performance in the context of disease risk prediction is the ROC-AUC. A perfect diagnostic would have an AUC of 1.0, however in practice values close to 1.0 are difficult to achieve. </w:t>
      </w:r>
      <w:r w:rsidR="00316D3A" w:rsidRPr="008C0402">
        <w:rPr>
          <w:rFonts w:ascii="Dante" w:hAnsi="Dante"/>
        </w:rPr>
        <w:t>A pr</w:t>
      </w:r>
      <w:r w:rsidR="0049051D" w:rsidRPr="008C0402">
        <w:rPr>
          <w:rFonts w:ascii="Dante" w:hAnsi="Dante"/>
        </w:rPr>
        <w:t>evious stud</w:t>
      </w:r>
      <w:r w:rsidR="00316D3A" w:rsidRPr="008C0402">
        <w:rPr>
          <w:rFonts w:ascii="Dante" w:hAnsi="Dante"/>
        </w:rPr>
        <w:t>y</w:t>
      </w:r>
      <w:r w:rsidR="0049051D" w:rsidRPr="008C0402">
        <w:rPr>
          <w:rFonts w:ascii="Dante" w:hAnsi="Dante"/>
        </w:rPr>
        <w:t xml:space="preserve"> </w:t>
      </w:r>
      <w:r w:rsidR="00316D3A" w:rsidRPr="008C0402">
        <w:rPr>
          <w:rFonts w:ascii="Dante" w:hAnsi="Dante"/>
        </w:rPr>
        <w:t>applied</w:t>
      </w:r>
      <w:r w:rsidR="0049051D" w:rsidRPr="008C0402">
        <w:rPr>
          <w:rFonts w:ascii="Dante" w:hAnsi="Dante"/>
        </w:rPr>
        <w:t xml:space="preserve"> </w:t>
      </w:r>
      <w:r w:rsidR="00316D3A" w:rsidRPr="008C0402">
        <w:rPr>
          <w:rFonts w:ascii="Dante" w:hAnsi="Dante"/>
        </w:rPr>
        <w:t xml:space="preserve">Logistic regression with l1 penalty on a dataset </w:t>
      </w:r>
      <w:r w:rsidR="00DB3BAB" w:rsidRPr="008C0402">
        <w:rPr>
          <w:rFonts w:ascii="Dante" w:hAnsi="Dante"/>
        </w:rPr>
        <w:t>(</w:t>
      </w:r>
      <w:r w:rsidR="00316D3A" w:rsidRPr="008C0402">
        <w:rPr>
          <w:rFonts w:ascii="Dante" w:hAnsi="Dante"/>
        </w:rPr>
        <w:t>that included a total of 60,828 samples</w:t>
      </w:r>
      <w:r w:rsidR="00DB3BAB" w:rsidRPr="008C0402">
        <w:rPr>
          <w:rFonts w:ascii="Dante" w:hAnsi="Dante"/>
        </w:rPr>
        <w:t>)</w:t>
      </w:r>
      <w:r w:rsidR="00316D3A" w:rsidRPr="008C0402">
        <w:rPr>
          <w:rFonts w:ascii="Dante" w:hAnsi="Dante"/>
        </w:rPr>
        <w:t xml:space="preserve"> </w:t>
      </w:r>
      <w:r w:rsidR="0049051D" w:rsidRPr="008C0402">
        <w:rPr>
          <w:rFonts w:ascii="Dante" w:hAnsi="Dante"/>
        </w:rPr>
        <w:t xml:space="preserve">to distinguish between healthy / UC or healthy / CD patients reported AUC values </w:t>
      </w:r>
      <w:r w:rsidR="00316D3A" w:rsidRPr="008C0402">
        <w:rPr>
          <w:rFonts w:ascii="Dante" w:hAnsi="Dante"/>
        </w:rPr>
        <w:t xml:space="preserve">of </w:t>
      </w:r>
      <w:r w:rsidR="0049051D" w:rsidRPr="008C0402">
        <w:rPr>
          <w:rFonts w:ascii="Dante" w:hAnsi="Dante"/>
        </w:rPr>
        <w:t xml:space="preserve">0.83 and 0.86 </w:t>
      </w:r>
      <w:r w:rsidR="00316D3A" w:rsidRPr="008C0402">
        <w:rPr>
          <w:rFonts w:ascii="Dante" w:hAnsi="Dante"/>
        </w:rPr>
        <w:t>respectively</w:t>
      </w:r>
      <w:r w:rsidR="002968B2" w:rsidRPr="008C0402">
        <w:rPr>
          <w:rFonts w:ascii="Dante" w:hAnsi="Dante"/>
        </w:rPr>
        <w:t xml:space="preserve"> [8]. </w:t>
      </w:r>
      <w:r w:rsidR="00316D3A" w:rsidRPr="008C0402">
        <w:rPr>
          <w:rFonts w:ascii="Dante" w:hAnsi="Dante"/>
        </w:rPr>
        <w:t xml:space="preserve">Similarly, another publication compared the performance of various LR models such as Lasso, Ridge and </w:t>
      </w:r>
      <w:proofErr w:type="spellStart"/>
      <w:r w:rsidR="00316D3A" w:rsidRPr="008C0402">
        <w:rPr>
          <w:rFonts w:ascii="Dante" w:hAnsi="Dante"/>
        </w:rPr>
        <w:lastRenderedPageBreak/>
        <w:t>ElasticNet</w:t>
      </w:r>
      <w:proofErr w:type="spellEnd"/>
      <w:r w:rsidR="00316D3A" w:rsidRPr="008C0402">
        <w:rPr>
          <w:rFonts w:ascii="Dante" w:hAnsi="Dante"/>
        </w:rPr>
        <w:t xml:space="preserve"> as well as GBT methods like </w:t>
      </w:r>
      <w:proofErr w:type="spellStart"/>
      <w:r w:rsidR="00316D3A" w:rsidRPr="008C0402">
        <w:rPr>
          <w:rFonts w:ascii="Dante" w:hAnsi="Dante"/>
        </w:rPr>
        <w:t>XGBoost</w:t>
      </w:r>
      <w:proofErr w:type="spellEnd"/>
      <w:r w:rsidR="00316D3A" w:rsidRPr="008C0402">
        <w:rPr>
          <w:rFonts w:ascii="Dante" w:hAnsi="Dante"/>
        </w:rPr>
        <w:t xml:space="preserve">, </w:t>
      </w:r>
      <w:proofErr w:type="spellStart"/>
      <w:r w:rsidR="00316D3A" w:rsidRPr="008C0402">
        <w:rPr>
          <w:rFonts w:ascii="Dante" w:hAnsi="Dante"/>
        </w:rPr>
        <w:t>LightGBM</w:t>
      </w:r>
      <w:proofErr w:type="spellEnd"/>
      <w:r w:rsidR="00316D3A" w:rsidRPr="008C0402">
        <w:rPr>
          <w:rFonts w:ascii="Dante" w:hAnsi="Dante"/>
        </w:rPr>
        <w:t xml:space="preserve"> and </w:t>
      </w:r>
      <w:proofErr w:type="spellStart"/>
      <w:r w:rsidR="00316D3A" w:rsidRPr="008C0402">
        <w:rPr>
          <w:rFonts w:ascii="Dante" w:hAnsi="Dante"/>
        </w:rPr>
        <w:t>CatBoost</w:t>
      </w:r>
      <w:proofErr w:type="spellEnd"/>
      <w:r w:rsidR="00316D3A" w:rsidRPr="008C0402">
        <w:rPr>
          <w:rFonts w:ascii="Dante" w:hAnsi="Dante"/>
        </w:rPr>
        <w:t xml:space="preserve"> and reported a maximum AUC of 0.80</w:t>
      </w:r>
      <w:r w:rsidR="00DB3BAB" w:rsidRPr="008C0402">
        <w:rPr>
          <w:rFonts w:ascii="Dante" w:hAnsi="Dante"/>
        </w:rPr>
        <w:t xml:space="preserve"> using similar sample sizes</w:t>
      </w:r>
      <w:r w:rsidR="002968B2" w:rsidRPr="008C0402">
        <w:rPr>
          <w:rFonts w:ascii="Dante" w:hAnsi="Dante"/>
        </w:rPr>
        <w:t xml:space="preserve"> [9]</w:t>
      </w:r>
      <w:r w:rsidR="00316D3A" w:rsidRPr="008C0402">
        <w:rPr>
          <w:rFonts w:ascii="Dante" w:hAnsi="Dante"/>
        </w:rPr>
        <w:t xml:space="preserve">. </w:t>
      </w:r>
      <w:r w:rsidR="009A5D8A">
        <w:rPr>
          <w:rFonts w:ascii="Dante" w:hAnsi="Dante"/>
        </w:rPr>
        <w:t>In this study</w:t>
      </w:r>
      <w:r w:rsidR="00316D3A" w:rsidRPr="008C0402">
        <w:rPr>
          <w:rFonts w:ascii="Dante" w:hAnsi="Dante"/>
        </w:rPr>
        <w:t>, Logistic regression ('C': 1.0, 'penalty': 'l2', 'solver': '</w:t>
      </w:r>
      <w:proofErr w:type="spellStart"/>
      <w:r w:rsidR="00316D3A" w:rsidRPr="008C0402">
        <w:rPr>
          <w:rFonts w:ascii="Dante" w:hAnsi="Dante"/>
        </w:rPr>
        <w:t>lbfgs</w:t>
      </w:r>
      <w:proofErr w:type="spellEnd"/>
      <w:r w:rsidR="00316D3A" w:rsidRPr="008C0402">
        <w:rPr>
          <w:rFonts w:ascii="Dante" w:hAnsi="Dante"/>
        </w:rPr>
        <w:t>') had the highest AUC of 0.91, followed by MLP with AUC values that ranged between 0.85-0.90</w:t>
      </w:r>
      <w:r w:rsidR="009A5D8A">
        <w:rPr>
          <w:rFonts w:ascii="Dante" w:hAnsi="Dante"/>
        </w:rPr>
        <w:t xml:space="preserve"> across multiple trials</w:t>
      </w:r>
      <w:r w:rsidR="00316D3A" w:rsidRPr="008C0402">
        <w:rPr>
          <w:rFonts w:ascii="Dante" w:hAnsi="Dante"/>
        </w:rPr>
        <w:t>.</w:t>
      </w:r>
      <w:r w:rsidR="003518FB" w:rsidRPr="008C0402">
        <w:rPr>
          <w:rFonts w:ascii="Dante" w:hAnsi="Dante"/>
        </w:rPr>
        <w:t xml:space="preserve"> Additionally, neither model skewed heavily toward classifying individuals as healthy or diseased, despite the</w:t>
      </w:r>
      <w:r w:rsidR="00974E23" w:rsidRPr="008C0402">
        <w:rPr>
          <w:rFonts w:ascii="Dante" w:hAnsi="Dante"/>
        </w:rPr>
        <w:t xml:space="preserve"> class imbalance (~1600 healthy vs ~1000 diseased) </w:t>
      </w:r>
      <w:r w:rsidR="003518FB" w:rsidRPr="008C0402">
        <w:rPr>
          <w:rFonts w:ascii="Dante" w:hAnsi="Dante"/>
        </w:rPr>
        <w:t>within the dataset</w:t>
      </w:r>
      <w:r w:rsidR="00974E23" w:rsidRPr="008C0402">
        <w:rPr>
          <w:rFonts w:ascii="Dante" w:hAnsi="Dante"/>
        </w:rPr>
        <w:t xml:space="preserve"> (see confusion matrixes in fig 1E and F) and had high precision and recall values for either class (Table 1). This suggests that both models “learned” to correctly distinguish between the classes as opposed to randomly guessing one class</w:t>
      </w:r>
      <w:r w:rsidR="008C0402">
        <w:rPr>
          <w:rFonts w:ascii="Dante" w:hAnsi="Dante"/>
        </w:rPr>
        <w:t xml:space="preserve"> for a high proportion of the cases</w:t>
      </w:r>
      <w:r w:rsidR="00974E23" w:rsidRPr="008C0402">
        <w:rPr>
          <w:rFonts w:ascii="Dante" w:hAnsi="Dante"/>
        </w:rPr>
        <w:t xml:space="preserve">. </w:t>
      </w:r>
      <w:r w:rsidR="00316D3A" w:rsidRPr="008C0402">
        <w:rPr>
          <w:rFonts w:ascii="Dante" w:hAnsi="Dante"/>
        </w:rPr>
        <w:t xml:space="preserve">While this performance is impressive, I was working with smaller sample sizes compared </w:t>
      </w:r>
      <w:r w:rsidR="00DB3BAB" w:rsidRPr="008C0402">
        <w:rPr>
          <w:rFonts w:ascii="Dante" w:hAnsi="Dante"/>
        </w:rPr>
        <w:t xml:space="preserve">to the studies listed above. </w:t>
      </w:r>
      <w:r w:rsidR="008C0402">
        <w:rPr>
          <w:rFonts w:ascii="Dante" w:hAnsi="Dante"/>
        </w:rPr>
        <w:t>Additionally</w:t>
      </w:r>
      <w:r w:rsidR="00DB3BAB" w:rsidRPr="008C0402">
        <w:rPr>
          <w:rFonts w:ascii="Dante" w:hAnsi="Dante"/>
        </w:rPr>
        <w:t xml:space="preserve">, the studies referenced above included &gt;10,000 features for their final model fitting. </w:t>
      </w:r>
      <w:r w:rsidR="008C0402">
        <w:rPr>
          <w:rFonts w:ascii="Dante" w:hAnsi="Dante"/>
        </w:rPr>
        <w:t>Thus</w:t>
      </w:r>
      <w:r w:rsidR="00084FB1">
        <w:rPr>
          <w:rFonts w:ascii="Dante" w:hAnsi="Dante"/>
        </w:rPr>
        <w:t>,</w:t>
      </w:r>
      <w:r w:rsidR="008C0402">
        <w:rPr>
          <w:rFonts w:ascii="Dante" w:hAnsi="Dante"/>
        </w:rPr>
        <w:t xml:space="preserve"> direct comparisons between the different studies may not be meaningful. </w:t>
      </w:r>
      <w:r w:rsidR="00DB3BAB" w:rsidRPr="008C0402">
        <w:rPr>
          <w:rFonts w:ascii="Dante" w:hAnsi="Dante"/>
        </w:rPr>
        <w:t xml:space="preserve">Nonetheless, I was able to achieve relatively strong model performance using an ordinary laptop in a relatively short amount of time. In future projects, I will try to explore the effect of including feature data from a variety of sources such as diet, </w:t>
      </w:r>
      <w:r w:rsidR="002968B2" w:rsidRPr="008C0402">
        <w:rPr>
          <w:rFonts w:ascii="Dante" w:hAnsi="Dante"/>
        </w:rPr>
        <w:t>microbiome,</w:t>
      </w:r>
      <w:r w:rsidR="00DB3BAB" w:rsidRPr="008C0402">
        <w:rPr>
          <w:rFonts w:ascii="Dante" w:hAnsi="Dante"/>
        </w:rPr>
        <w:t xml:space="preserve"> and family history. The machine learning approaches used here can also be extended to develop disease risk prediction algorithms for disorders other than IBD.</w:t>
      </w:r>
    </w:p>
    <w:tbl>
      <w:tblPr>
        <w:tblStyle w:val="TableGrid"/>
        <w:tblpPr w:leftFromText="180" w:rightFromText="180" w:vertAnchor="page" w:horzAnchor="margin" w:tblpY="5784"/>
        <w:tblW w:w="10249" w:type="dxa"/>
        <w:tblLook w:val="04A0" w:firstRow="1" w:lastRow="0" w:firstColumn="1" w:lastColumn="0" w:noHBand="0" w:noVBand="1"/>
      </w:tblPr>
      <w:tblGrid>
        <w:gridCol w:w="1826"/>
        <w:gridCol w:w="833"/>
        <w:gridCol w:w="913"/>
        <w:gridCol w:w="880"/>
        <w:gridCol w:w="960"/>
        <w:gridCol w:w="4837"/>
      </w:tblGrid>
      <w:tr w:rsidR="00974E23" w:rsidRPr="00D50C5D" w14:paraId="6BE6ADAC" w14:textId="77777777" w:rsidTr="00974E23">
        <w:trPr>
          <w:trHeight w:val="321"/>
        </w:trPr>
        <w:tc>
          <w:tcPr>
            <w:tcW w:w="1826" w:type="dxa"/>
            <w:noWrap/>
            <w:hideMark/>
          </w:tcPr>
          <w:p w14:paraId="738A4C4E" w14:textId="77777777" w:rsidR="00974E23" w:rsidRPr="001B3969" w:rsidRDefault="00974E23" w:rsidP="008C0402">
            <w:pPr>
              <w:jc w:val="center"/>
              <w:rPr>
                <w:rFonts w:ascii="Dante" w:hAnsi="Dante"/>
                <w:b/>
                <w:bCs/>
                <w:sz w:val="16"/>
                <w:szCs w:val="16"/>
              </w:rPr>
            </w:pPr>
            <w:r w:rsidRPr="001B3969">
              <w:rPr>
                <w:rFonts w:ascii="Dante" w:hAnsi="Dante"/>
                <w:b/>
                <w:bCs/>
                <w:sz w:val="16"/>
                <w:szCs w:val="16"/>
              </w:rPr>
              <w:t>Model</w:t>
            </w:r>
          </w:p>
        </w:tc>
        <w:tc>
          <w:tcPr>
            <w:tcW w:w="833" w:type="dxa"/>
            <w:noWrap/>
            <w:hideMark/>
          </w:tcPr>
          <w:p w14:paraId="1B9E4A85" w14:textId="77777777" w:rsidR="00974E23" w:rsidRPr="001B3969" w:rsidRDefault="00974E23" w:rsidP="008C0402">
            <w:pPr>
              <w:jc w:val="center"/>
              <w:rPr>
                <w:rFonts w:ascii="Dante" w:hAnsi="Dante"/>
                <w:b/>
                <w:bCs/>
                <w:sz w:val="16"/>
                <w:szCs w:val="16"/>
              </w:rPr>
            </w:pPr>
            <w:r w:rsidRPr="001B3969">
              <w:rPr>
                <w:rFonts w:ascii="Dante" w:hAnsi="Dante"/>
                <w:b/>
                <w:bCs/>
                <w:sz w:val="16"/>
                <w:szCs w:val="16"/>
              </w:rPr>
              <w:t>Accuracy</w:t>
            </w:r>
          </w:p>
        </w:tc>
        <w:tc>
          <w:tcPr>
            <w:tcW w:w="913" w:type="dxa"/>
            <w:noWrap/>
            <w:hideMark/>
          </w:tcPr>
          <w:p w14:paraId="229D7F4C" w14:textId="77777777" w:rsidR="00974E23" w:rsidRDefault="00974E23" w:rsidP="008C0402">
            <w:pPr>
              <w:jc w:val="center"/>
              <w:rPr>
                <w:rFonts w:ascii="Dante" w:hAnsi="Dante"/>
                <w:b/>
                <w:bCs/>
                <w:sz w:val="16"/>
                <w:szCs w:val="16"/>
              </w:rPr>
            </w:pPr>
            <w:r w:rsidRPr="001B3969">
              <w:rPr>
                <w:rFonts w:ascii="Dante" w:hAnsi="Dante"/>
                <w:b/>
                <w:bCs/>
                <w:sz w:val="16"/>
                <w:szCs w:val="16"/>
              </w:rPr>
              <w:t>Precision</w:t>
            </w:r>
          </w:p>
          <w:p w14:paraId="0F295C2E" w14:textId="77777777" w:rsidR="00974E23" w:rsidRPr="001B3969" w:rsidRDefault="00974E23" w:rsidP="008C0402">
            <w:pPr>
              <w:jc w:val="center"/>
              <w:rPr>
                <w:rFonts w:ascii="Dante" w:hAnsi="Dante"/>
                <w:b/>
                <w:bCs/>
                <w:sz w:val="16"/>
                <w:szCs w:val="16"/>
              </w:rPr>
            </w:pPr>
            <w:r>
              <w:rPr>
                <w:rFonts w:ascii="Dante" w:hAnsi="Dante"/>
                <w:b/>
                <w:bCs/>
                <w:sz w:val="16"/>
                <w:szCs w:val="16"/>
              </w:rPr>
              <w:t>(healthy / IBD)</w:t>
            </w:r>
          </w:p>
        </w:tc>
        <w:tc>
          <w:tcPr>
            <w:tcW w:w="880" w:type="dxa"/>
            <w:noWrap/>
            <w:hideMark/>
          </w:tcPr>
          <w:p w14:paraId="40C214D2" w14:textId="77777777" w:rsidR="00974E23" w:rsidRDefault="00974E23" w:rsidP="008C0402">
            <w:pPr>
              <w:jc w:val="center"/>
              <w:rPr>
                <w:rFonts w:ascii="Dante" w:hAnsi="Dante"/>
                <w:b/>
                <w:bCs/>
                <w:sz w:val="16"/>
                <w:szCs w:val="16"/>
              </w:rPr>
            </w:pPr>
            <w:r w:rsidRPr="001B3969">
              <w:rPr>
                <w:rFonts w:ascii="Dante" w:hAnsi="Dante"/>
                <w:b/>
                <w:bCs/>
                <w:sz w:val="16"/>
                <w:szCs w:val="16"/>
              </w:rPr>
              <w:t>Recall</w:t>
            </w:r>
          </w:p>
          <w:p w14:paraId="70A59A65" w14:textId="77777777" w:rsidR="00974E23" w:rsidRPr="001B3969" w:rsidRDefault="00974E23" w:rsidP="008C0402">
            <w:pPr>
              <w:jc w:val="center"/>
              <w:rPr>
                <w:rFonts w:ascii="Dante" w:hAnsi="Dante"/>
                <w:b/>
                <w:bCs/>
                <w:sz w:val="16"/>
                <w:szCs w:val="16"/>
              </w:rPr>
            </w:pPr>
            <w:r>
              <w:rPr>
                <w:rFonts w:ascii="Dante" w:hAnsi="Dante"/>
                <w:b/>
                <w:bCs/>
                <w:sz w:val="16"/>
                <w:szCs w:val="16"/>
              </w:rPr>
              <w:t>(healthy / IBD)</w:t>
            </w:r>
          </w:p>
        </w:tc>
        <w:tc>
          <w:tcPr>
            <w:tcW w:w="960" w:type="dxa"/>
            <w:noWrap/>
            <w:hideMark/>
          </w:tcPr>
          <w:p w14:paraId="1C211A4B" w14:textId="77777777" w:rsidR="00974E23" w:rsidRPr="001B3969" w:rsidRDefault="00974E23" w:rsidP="008C0402">
            <w:pPr>
              <w:jc w:val="center"/>
              <w:rPr>
                <w:rFonts w:ascii="Dante" w:hAnsi="Dante"/>
                <w:b/>
                <w:bCs/>
                <w:sz w:val="16"/>
                <w:szCs w:val="16"/>
              </w:rPr>
            </w:pPr>
            <w:r w:rsidRPr="001B3969">
              <w:rPr>
                <w:rFonts w:ascii="Dante" w:hAnsi="Dante"/>
                <w:b/>
                <w:bCs/>
                <w:sz w:val="16"/>
                <w:szCs w:val="16"/>
              </w:rPr>
              <w:t>ROC-AUC</w:t>
            </w:r>
          </w:p>
        </w:tc>
        <w:tc>
          <w:tcPr>
            <w:tcW w:w="4837" w:type="dxa"/>
            <w:noWrap/>
            <w:hideMark/>
          </w:tcPr>
          <w:p w14:paraId="3CFA5DA1" w14:textId="77777777" w:rsidR="00974E23" w:rsidRPr="001B3969" w:rsidRDefault="00974E23" w:rsidP="008C0402">
            <w:pPr>
              <w:jc w:val="center"/>
              <w:rPr>
                <w:rFonts w:ascii="Dante" w:hAnsi="Dante"/>
                <w:b/>
                <w:bCs/>
                <w:sz w:val="16"/>
                <w:szCs w:val="16"/>
              </w:rPr>
            </w:pPr>
            <w:r>
              <w:rPr>
                <w:rFonts w:ascii="Dante" w:hAnsi="Dante"/>
                <w:b/>
                <w:bCs/>
                <w:sz w:val="16"/>
                <w:szCs w:val="16"/>
              </w:rPr>
              <w:t xml:space="preserve">Best model </w:t>
            </w:r>
            <w:r w:rsidRPr="001B3969">
              <w:rPr>
                <w:rFonts w:ascii="Dante" w:hAnsi="Dante"/>
                <w:b/>
                <w:bCs/>
                <w:sz w:val="16"/>
                <w:szCs w:val="16"/>
              </w:rPr>
              <w:t>Parameters</w:t>
            </w:r>
          </w:p>
        </w:tc>
      </w:tr>
      <w:tr w:rsidR="00974E23" w:rsidRPr="00D50C5D" w14:paraId="02227531" w14:textId="77777777" w:rsidTr="00974E23">
        <w:trPr>
          <w:trHeight w:val="321"/>
        </w:trPr>
        <w:tc>
          <w:tcPr>
            <w:tcW w:w="1826" w:type="dxa"/>
            <w:noWrap/>
            <w:hideMark/>
          </w:tcPr>
          <w:p w14:paraId="0BA18491" w14:textId="77777777" w:rsidR="00974E23" w:rsidRPr="008C0402" w:rsidRDefault="00974E23" w:rsidP="008C0402">
            <w:pPr>
              <w:jc w:val="center"/>
              <w:rPr>
                <w:rFonts w:ascii="Dante" w:hAnsi="Dante"/>
                <w:sz w:val="16"/>
                <w:szCs w:val="16"/>
              </w:rPr>
            </w:pPr>
            <w:r w:rsidRPr="008C0402">
              <w:rPr>
                <w:rFonts w:ascii="Dante" w:hAnsi="Dante"/>
                <w:sz w:val="16"/>
                <w:szCs w:val="16"/>
              </w:rPr>
              <w:t>Logistic Regression</w:t>
            </w:r>
          </w:p>
        </w:tc>
        <w:tc>
          <w:tcPr>
            <w:tcW w:w="833" w:type="dxa"/>
            <w:noWrap/>
            <w:hideMark/>
          </w:tcPr>
          <w:p w14:paraId="4E676380" w14:textId="77777777" w:rsidR="00974E23" w:rsidRPr="008C0402" w:rsidRDefault="00974E23" w:rsidP="008C0402">
            <w:pPr>
              <w:jc w:val="center"/>
              <w:rPr>
                <w:rFonts w:ascii="Dante" w:hAnsi="Dante"/>
                <w:sz w:val="16"/>
                <w:szCs w:val="16"/>
              </w:rPr>
            </w:pPr>
            <w:r w:rsidRPr="008C0402">
              <w:rPr>
                <w:rFonts w:ascii="Dante" w:hAnsi="Dante"/>
                <w:sz w:val="16"/>
                <w:szCs w:val="16"/>
              </w:rPr>
              <w:t>0.84</w:t>
            </w:r>
          </w:p>
        </w:tc>
        <w:tc>
          <w:tcPr>
            <w:tcW w:w="913" w:type="dxa"/>
            <w:noWrap/>
            <w:hideMark/>
          </w:tcPr>
          <w:p w14:paraId="6F610182" w14:textId="77777777" w:rsidR="00974E23" w:rsidRPr="008C0402" w:rsidRDefault="00974E23" w:rsidP="008C0402">
            <w:pPr>
              <w:jc w:val="center"/>
              <w:rPr>
                <w:rFonts w:ascii="Dante" w:hAnsi="Dante"/>
                <w:sz w:val="16"/>
                <w:szCs w:val="16"/>
              </w:rPr>
            </w:pPr>
            <w:r w:rsidRPr="008C0402">
              <w:rPr>
                <w:rFonts w:ascii="Dante" w:hAnsi="Dante"/>
                <w:sz w:val="16"/>
                <w:szCs w:val="16"/>
              </w:rPr>
              <w:t>0.86 / 0.80</w:t>
            </w:r>
          </w:p>
        </w:tc>
        <w:tc>
          <w:tcPr>
            <w:tcW w:w="880" w:type="dxa"/>
            <w:noWrap/>
            <w:hideMark/>
          </w:tcPr>
          <w:p w14:paraId="7783DA86" w14:textId="77777777" w:rsidR="00974E23" w:rsidRPr="008C0402" w:rsidRDefault="00974E23" w:rsidP="008C0402">
            <w:pPr>
              <w:jc w:val="center"/>
              <w:rPr>
                <w:rFonts w:ascii="Dante" w:hAnsi="Dante"/>
                <w:sz w:val="16"/>
                <w:szCs w:val="16"/>
              </w:rPr>
            </w:pPr>
            <w:r w:rsidRPr="008C0402">
              <w:rPr>
                <w:rFonts w:ascii="Dante" w:hAnsi="Dante"/>
                <w:sz w:val="16"/>
                <w:szCs w:val="16"/>
              </w:rPr>
              <w:t>0.88 / 0.79</w:t>
            </w:r>
          </w:p>
        </w:tc>
        <w:tc>
          <w:tcPr>
            <w:tcW w:w="960" w:type="dxa"/>
            <w:noWrap/>
            <w:hideMark/>
          </w:tcPr>
          <w:p w14:paraId="18634217" w14:textId="77777777" w:rsidR="00974E23" w:rsidRPr="008C0402" w:rsidRDefault="00974E23" w:rsidP="008C0402">
            <w:pPr>
              <w:jc w:val="center"/>
              <w:rPr>
                <w:rFonts w:ascii="Dante" w:hAnsi="Dante"/>
                <w:sz w:val="16"/>
                <w:szCs w:val="16"/>
              </w:rPr>
            </w:pPr>
            <w:r w:rsidRPr="008C0402">
              <w:rPr>
                <w:rFonts w:ascii="Dante" w:hAnsi="Dante"/>
                <w:sz w:val="16"/>
                <w:szCs w:val="16"/>
              </w:rPr>
              <w:t>0.91</w:t>
            </w:r>
          </w:p>
        </w:tc>
        <w:tc>
          <w:tcPr>
            <w:tcW w:w="4837" w:type="dxa"/>
            <w:noWrap/>
            <w:hideMark/>
          </w:tcPr>
          <w:p w14:paraId="32EB2620" w14:textId="77777777" w:rsidR="00974E23" w:rsidRPr="008C0402" w:rsidRDefault="00974E23" w:rsidP="008C0402">
            <w:pPr>
              <w:jc w:val="center"/>
              <w:rPr>
                <w:rFonts w:ascii="Dante" w:hAnsi="Dante"/>
                <w:sz w:val="16"/>
                <w:szCs w:val="16"/>
              </w:rPr>
            </w:pPr>
            <w:r w:rsidRPr="008C0402">
              <w:rPr>
                <w:rFonts w:ascii="Dante" w:hAnsi="Dante"/>
                <w:sz w:val="16"/>
                <w:szCs w:val="16"/>
              </w:rPr>
              <w:t>'C': 1.0, 'penalty': 'l2', 'solver': '</w:t>
            </w:r>
            <w:proofErr w:type="spellStart"/>
            <w:r w:rsidRPr="008C0402">
              <w:rPr>
                <w:rFonts w:ascii="Dante" w:hAnsi="Dante"/>
                <w:sz w:val="16"/>
                <w:szCs w:val="16"/>
              </w:rPr>
              <w:t>lbfgs</w:t>
            </w:r>
            <w:proofErr w:type="spellEnd"/>
            <w:r w:rsidRPr="008C0402">
              <w:rPr>
                <w:rFonts w:ascii="Dante" w:hAnsi="Dante"/>
                <w:sz w:val="16"/>
                <w:szCs w:val="16"/>
              </w:rPr>
              <w:t>'</w:t>
            </w:r>
          </w:p>
        </w:tc>
      </w:tr>
      <w:tr w:rsidR="00974E23" w:rsidRPr="00D50C5D" w14:paraId="2AD1060D" w14:textId="77777777" w:rsidTr="00974E23">
        <w:trPr>
          <w:trHeight w:val="321"/>
        </w:trPr>
        <w:tc>
          <w:tcPr>
            <w:tcW w:w="1826" w:type="dxa"/>
            <w:noWrap/>
            <w:hideMark/>
          </w:tcPr>
          <w:p w14:paraId="7EF68AED" w14:textId="77777777" w:rsidR="00974E23" w:rsidRPr="008C0402" w:rsidRDefault="00974E23" w:rsidP="008C0402">
            <w:pPr>
              <w:jc w:val="center"/>
              <w:rPr>
                <w:rFonts w:ascii="Dante" w:hAnsi="Dante"/>
                <w:sz w:val="16"/>
                <w:szCs w:val="16"/>
              </w:rPr>
            </w:pPr>
            <w:bookmarkStart w:id="0" w:name="_Hlk59381978"/>
            <w:r w:rsidRPr="008C0402">
              <w:rPr>
                <w:rFonts w:ascii="Dante" w:hAnsi="Dante"/>
                <w:sz w:val="16"/>
                <w:szCs w:val="16"/>
              </w:rPr>
              <w:t>Multi-layer perceptron</w:t>
            </w:r>
          </w:p>
        </w:tc>
        <w:tc>
          <w:tcPr>
            <w:tcW w:w="833" w:type="dxa"/>
            <w:noWrap/>
            <w:hideMark/>
          </w:tcPr>
          <w:p w14:paraId="533C93CB" w14:textId="77777777" w:rsidR="00974E23" w:rsidRPr="008C0402" w:rsidRDefault="00974E23" w:rsidP="008C0402">
            <w:pPr>
              <w:jc w:val="center"/>
              <w:rPr>
                <w:rFonts w:ascii="Dante" w:hAnsi="Dante"/>
                <w:sz w:val="16"/>
                <w:szCs w:val="16"/>
              </w:rPr>
            </w:pPr>
            <w:r w:rsidRPr="008C0402">
              <w:rPr>
                <w:rFonts w:ascii="Dante" w:hAnsi="Dante"/>
                <w:sz w:val="16"/>
                <w:szCs w:val="16"/>
              </w:rPr>
              <w:t>0.82</w:t>
            </w:r>
          </w:p>
        </w:tc>
        <w:tc>
          <w:tcPr>
            <w:tcW w:w="913" w:type="dxa"/>
            <w:noWrap/>
            <w:hideMark/>
          </w:tcPr>
          <w:p w14:paraId="55FEC0AA" w14:textId="77777777" w:rsidR="00974E23" w:rsidRPr="008C0402" w:rsidRDefault="00974E23" w:rsidP="008C0402">
            <w:pPr>
              <w:jc w:val="center"/>
              <w:rPr>
                <w:rFonts w:ascii="Dante" w:hAnsi="Dante"/>
                <w:sz w:val="16"/>
                <w:szCs w:val="16"/>
              </w:rPr>
            </w:pPr>
            <w:r w:rsidRPr="008C0402">
              <w:rPr>
                <w:rFonts w:ascii="Dante" w:hAnsi="Dante"/>
                <w:sz w:val="16"/>
                <w:szCs w:val="16"/>
              </w:rPr>
              <w:t>0.86 / 0.75</w:t>
            </w:r>
          </w:p>
        </w:tc>
        <w:tc>
          <w:tcPr>
            <w:tcW w:w="880" w:type="dxa"/>
            <w:noWrap/>
            <w:hideMark/>
          </w:tcPr>
          <w:p w14:paraId="29322582" w14:textId="77777777" w:rsidR="00974E23" w:rsidRPr="008C0402" w:rsidRDefault="00974E23" w:rsidP="008C0402">
            <w:pPr>
              <w:jc w:val="center"/>
              <w:rPr>
                <w:rFonts w:ascii="Dante" w:hAnsi="Dante"/>
                <w:sz w:val="16"/>
                <w:szCs w:val="16"/>
              </w:rPr>
            </w:pPr>
            <w:r w:rsidRPr="008C0402">
              <w:rPr>
                <w:rFonts w:ascii="Dante" w:hAnsi="Dante"/>
                <w:sz w:val="16"/>
                <w:szCs w:val="16"/>
              </w:rPr>
              <w:t>0.85 / 0.77</w:t>
            </w:r>
          </w:p>
        </w:tc>
        <w:tc>
          <w:tcPr>
            <w:tcW w:w="960" w:type="dxa"/>
            <w:noWrap/>
            <w:hideMark/>
          </w:tcPr>
          <w:p w14:paraId="03D5A759" w14:textId="77777777" w:rsidR="00974E23" w:rsidRPr="008C0402" w:rsidRDefault="00974E23" w:rsidP="008C0402">
            <w:pPr>
              <w:jc w:val="center"/>
              <w:rPr>
                <w:rFonts w:ascii="Dante" w:hAnsi="Dante"/>
                <w:sz w:val="16"/>
                <w:szCs w:val="16"/>
              </w:rPr>
            </w:pPr>
            <w:r w:rsidRPr="008C0402">
              <w:rPr>
                <w:rFonts w:ascii="Dante" w:hAnsi="Dante"/>
                <w:sz w:val="16"/>
                <w:szCs w:val="16"/>
              </w:rPr>
              <w:t>0.90</w:t>
            </w:r>
          </w:p>
        </w:tc>
        <w:tc>
          <w:tcPr>
            <w:tcW w:w="4837" w:type="dxa"/>
            <w:noWrap/>
            <w:hideMark/>
          </w:tcPr>
          <w:p w14:paraId="3681C0DF" w14:textId="77777777" w:rsidR="00974E23" w:rsidRPr="008C0402" w:rsidRDefault="00974E23" w:rsidP="008C0402">
            <w:pPr>
              <w:jc w:val="center"/>
              <w:rPr>
                <w:rFonts w:ascii="Dante" w:hAnsi="Dante"/>
                <w:sz w:val="16"/>
                <w:szCs w:val="16"/>
              </w:rPr>
            </w:pPr>
            <w:r w:rsidRPr="008C0402">
              <w:rPr>
                <w:rFonts w:ascii="Dante" w:hAnsi="Dante"/>
                <w:sz w:val="16"/>
                <w:szCs w:val="16"/>
              </w:rPr>
              <w:t>'alpha': 0.1, '</w:t>
            </w:r>
            <w:proofErr w:type="spellStart"/>
            <w:r w:rsidRPr="008C0402">
              <w:rPr>
                <w:rFonts w:ascii="Dante" w:hAnsi="Dante"/>
                <w:sz w:val="16"/>
                <w:szCs w:val="16"/>
              </w:rPr>
              <w:t>hidden_layer_sizes</w:t>
            </w:r>
            <w:proofErr w:type="spellEnd"/>
            <w:r w:rsidRPr="008C0402">
              <w:rPr>
                <w:rFonts w:ascii="Dante" w:hAnsi="Dante"/>
                <w:sz w:val="16"/>
                <w:szCs w:val="16"/>
              </w:rPr>
              <w:t>': 10, '</w:t>
            </w:r>
            <w:proofErr w:type="spellStart"/>
            <w:r w:rsidRPr="008C0402">
              <w:rPr>
                <w:rFonts w:ascii="Dante" w:hAnsi="Dante"/>
                <w:sz w:val="16"/>
                <w:szCs w:val="16"/>
              </w:rPr>
              <w:t>max_iter</w:t>
            </w:r>
            <w:proofErr w:type="spellEnd"/>
            <w:r w:rsidRPr="008C0402">
              <w:rPr>
                <w:rFonts w:ascii="Dante" w:hAnsi="Dante"/>
                <w:sz w:val="16"/>
                <w:szCs w:val="16"/>
              </w:rPr>
              <w:t>': 1250, 'solver': '</w:t>
            </w:r>
            <w:proofErr w:type="spellStart"/>
            <w:r w:rsidRPr="008C0402">
              <w:rPr>
                <w:rFonts w:ascii="Dante" w:hAnsi="Dante"/>
                <w:sz w:val="16"/>
                <w:szCs w:val="16"/>
              </w:rPr>
              <w:t>sgd</w:t>
            </w:r>
            <w:proofErr w:type="spellEnd"/>
            <w:r w:rsidRPr="008C0402">
              <w:rPr>
                <w:rFonts w:ascii="Dante" w:hAnsi="Dante"/>
                <w:sz w:val="16"/>
                <w:szCs w:val="16"/>
              </w:rPr>
              <w:t>'</w:t>
            </w:r>
          </w:p>
        </w:tc>
      </w:tr>
      <w:bookmarkEnd w:id="0"/>
      <w:tr w:rsidR="00974E23" w:rsidRPr="00D50C5D" w14:paraId="658FA80E" w14:textId="77777777" w:rsidTr="00974E23">
        <w:trPr>
          <w:trHeight w:val="321"/>
        </w:trPr>
        <w:tc>
          <w:tcPr>
            <w:tcW w:w="1826" w:type="dxa"/>
            <w:noWrap/>
            <w:hideMark/>
          </w:tcPr>
          <w:p w14:paraId="2FE1EECD" w14:textId="77777777" w:rsidR="00974E23" w:rsidRPr="001B3969" w:rsidRDefault="00974E23" w:rsidP="008C0402">
            <w:pPr>
              <w:jc w:val="center"/>
              <w:rPr>
                <w:rFonts w:ascii="Dante" w:hAnsi="Dante"/>
                <w:sz w:val="16"/>
                <w:szCs w:val="16"/>
              </w:rPr>
            </w:pPr>
            <w:proofErr w:type="spellStart"/>
            <w:r w:rsidRPr="001B3969">
              <w:rPr>
                <w:rFonts w:ascii="Dante" w:hAnsi="Dante"/>
                <w:sz w:val="16"/>
                <w:szCs w:val="16"/>
              </w:rPr>
              <w:t>Xgboost</w:t>
            </w:r>
            <w:proofErr w:type="spellEnd"/>
          </w:p>
        </w:tc>
        <w:tc>
          <w:tcPr>
            <w:tcW w:w="833" w:type="dxa"/>
            <w:noWrap/>
            <w:hideMark/>
          </w:tcPr>
          <w:p w14:paraId="0992EC4B" w14:textId="77777777" w:rsidR="00974E23" w:rsidRPr="001B3969" w:rsidRDefault="00974E23" w:rsidP="008C0402">
            <w:pPr>
              <w:jc w:val="center"/>
              <w:rPr>
                <w:rFonts w:ascii="Dante" w:hAnsi="Dante"/>
                <w:sz w:val="16"/>
                <w:szCs w:val="16"/>
              </w:rPr>
            </w:pPr>
            <w:r w:rsidRPr="001B3969">
              <w:rPr>
                <w:rFonts w:ascii="Dante" w:hAnsi="Dante"/>
                <w:sz w:val="16"/>
                <w:szCs w:val="16"/>
              </w:rPr>
              <w:t>0.79</w:t>
            </w:r>
          </w:p>
        </w:tc>
        <w:tc>
          <w:tcPr>
            <w:tcW w:w="913" w:type="dxa"/>
            <w:noWrap/>
            <w:hideMark/>
          </w:tcPr>
          <w:p w14:paraId="647FA71A" w14:textId="77777777" w:rsidR="00974E23" w:rsidRPr="001B3969" w:rsidRDefault="00974E23" w:rsidP="008C0402">
            <w:pPr>
              <w:jc w:val="center"/>
              <w:rPr>
                <w:rFonts w:ascii="Dante" w:hAnsi="Dante"/>
                <w:sz w:val="16"/>
                <w:szCs w:val="16"/>
              </w:rPr>
            </w:pPr>
            <w:r w:rsidRPr="001B3969">
              <w:rPr>
                <w:rFonts w:ascii="Dante" w:hAnsi="Dante"/>
                <w:sz w:val="16"/>
                <w:szCs w:val="16"/>
              </w:rPr>
              <w:t>0.82 / 0.73</w:t>
            </w:r>
          </w:p>
        </w:tc>
        <w:tc>
          <w:tcPr>
            <w:tcW w:w="880" w:type="dxa"/>
            <w:noWrap/>
            <w:hideMark/>
          </w:tcPr>
          <w:p w14:paraId="103A7095" w14:textId="77777777" w:rsidR="00974E23" w:rsidRPr="001B3969" w:rsidRDefault="00974E23" w:rsidP="008C0402">
            <w:pPr>
              <w:jc w:val="center"/>
              <w:rPr>
                <w:rFonts w:ascii="Dante" w:hAnsi="Dante"/>
                <w:sz w:val="16"/>
                <w:szCs w:val="16"/>
              </w:rPr>
            </w:pPr>
            <w:r w:rsidRPr="001B3969">
              <w:rPr>
                <w:rFonts w:ascii="Dante" w:hAnsi="Dante"/>
                <w:sz w:val="16"/>
                <w:szCs w:val="16"/>
              </w:rPr>
              <w:t>0.85 / 0.65</w:t>
            </w:r>
          </w:p>
        </w:tc>
        <w:tc>
          <w:tcPr>
            <w:tcW w:w="960" w:type="dxa"/>
            <w:noWrap/>
            <w:hideMark/>
          </w:tcPr>
          <w:p w14:paraId="2CFDB954" w14:textId="77777777" w:rsidR="00974E23" w:rsidRPr="001B3969" w:rsidRDefault="00974E23" w:rsidP="008C0402">
            <w:pPr>
              <w:jc w:val="center"/>
              <w:rPr>
                <w:rFonts w:ascii="Dante" w:hAnsi="Dante"/>
                <w:sz w:val="16"/>
                <w:szCs w:val="16"/>
              </w:rPr>
            </w:pPr>
            <w:r w:rsidRPr="001B3969">
              <w:rPr>
                <w:rFonts w:ascii="Dante" w:hAnsi="Dante"/>
                <w:sz w:val="16"/>
                <w:szCs w:val="16"/>
              </w:rPr>
              <w:t>0.88</w:t>
            </w:r>
          </w:p>
        </w:tc>
        <w:tc>
          <w:tcPr>
            <w:tcW w:w="4837" w:type="dxa"/>
            <w:noWrap/>
            <w:hideMark/>
          </w:tcPr>
          <w:p w14:paraId="1CBBA402" w14:textId="77777777" w:rsidR="00974E23" w:rsidRPr="001B3969" w:rsidRDefault="00974E23" w:rsidP="008C0402">
            <w:pPr>
              <w:jc w:val="center"/>
              <w:rPr>
                <w:rFonts w:ascii="Dante" w:hAnsi="Dante"/>
                <w:sz w:val="16"/>
                <w:szCs w:val="16"/>
              </w:rPr>
            </w:pPr>
            <w:r w:rsidRPr="001B3969">
              <w:rPr>
                <w:rFonts w:ascii="Dante" w:hAnsi="Dante"/>
                <w:sz w:val="16"/>
                <w:szCs w:val="16"/>
              </w:rPr>
              <w:t>'</w:t>
            </w:r>
            <w:proofErr w:type="spellStart"/>
            <w:r w:rsidRPr="001B3969">
              <w:rPr>
                <w:rFonts w:ascii="Dante" w:hAnsi="Dante"/>
                <w:sz w:val="16"/>
                <w:szCs w:val="16"/>
              </w:rPr>
              <w:t>learning_rate</w:t>
            </w:r>
            <w:proofErr w:type="spellEnd"/>
            <w:r w:rsidRPr="001B3969">
              <w:rPr>
                <w:rFonts w:ascii="Dante" w:hAnsi="Dante"/>
                <w:sz w:val="16"/>
                <w:szCs w:val="16"/>
              </w:rPr>
              <w:t>': 0.1, '</w:t>
            </w:r>
            <w:proofErr w:type="spellStart"/>
            <w:r w:rsidRPr="001B3969">
              <w:rPr>
                <w:rFonts w:ascii="Dante" w:hAnsi="Dante"/>
                <w:sz w:val="16"/>
                <w:szCs w:val="16"/>
              </w:rPr>
              <w:t>n_estimators</w:t>
            </w:r>
            <w:proofErr w:type="spellEnd"/>
            <w:r w:rsidRPr="001B3969">
              <w:rPr>
                <w:rFonts w:ascii="Dante" w:hAnsi="Dante"/>
                <w:sz w:val="16"/>
                <w:szCs w:val="16"/>
              </w:rPr>
              <w:t>': 30</w:t>
            </w:r>
          </w:p>
        </w:tc>
      </w:tr>
      <w:tr w:rsidR="00974E23" w:rsidRPr="00D50C5D" w14:paraId="1EAD624C" w14:textId="77777777" w:rsidTr="00974E23">
        <w:trPr>
          <w:trHeight w:val="321"/>
        </w:trPr>
        <w:tc>
          <w:tcPr>
            <w:tcW w:w="1826" w:type="dxa"/>
            <w:noWrap/>
            <w:hideMark/>
          </w:tcPr>
          <w:p w14:paraId="532F1E4A" w14:textId="77777777" w:rsidR="00974E23" w:rsidRPr="001B3969" w:rsidRDefault="00974E23" w:rsidP="008C0402">
            <w:pPr>
              <w:jc w:val="center"/>
              <w:rPr>
                <w:rFonts w:ascii="Dante" w:hAnsi="Dante"/>
                <w:sz w:val="16"/>
                <w:szCs w:val="16"/>
              </w:rPr>
            </w:pPr>
            <w:r w:rsidRPr="001B3969">
              <w:rPr>
                <w:rFonts w:ascii="Dante" w:hAnsi="Dante"/>
                <w:sz w:val="16"/>
                <w:szCs w:val="16"/>
              </w:rPr>
              <w:t>Gradient Boosting</w:t>
            </w:r>
          </w:p>
        </w:tc>
        <w:tc>
          <w:tcPr>
            <w:tcW w:w="833" w:type="dxa"/>
            <w:noWrap/>
            <w:hideMark/>
          </w:tcPr>
          <w:p w14:paraId="51A9EABA" w14:textId="77777777" w:rsidR="00974E23" w:rsidRPr="001B3969" w:rsidRDefault="00974E23" w:rsidP="008C0402">
            <w:pPr>
              <w:jc w:val="center"/>
              <w:rPr>
                <w:rFonts w:ascii="Dante" w:hAnsi="Dante"/>
                <w:sz w:val="16"/>
                <w:szCs w:val="16"/>
              </w:rPr>
            </w:pPr>
            <w:r w:rsidRPr="001B3969">
              <w:rPr>
                <w:rFonts w:ascii="Dante" w:hAnsi="Dante"/>
                <w:sz w:val="16"/>
                <w:szCs w:val="16"/>
              </w:rPr>
              <w:t>0.79</w:t>
            </w:r>
          </w:p>
        </w:tc>
        <w:tc>
          <w:tcPr>
            <w:tcW w:w="913" w:type="dxa"/>
            <w:noWrap/>
            <w:hideMark/>
          </w:tcPr>
          <w:p w14:paraId="7E9EC658" w14:textId="77777777" w:rsidR="00974E23" w:rsidRPr="001B3969" w:rsidRDefault="00974E23" w:rsidP="008C0402">
            <w:pPr>
              <w:jc w:val="center"/>
              <w:rPr>
                <w:rFonts w:ascii="Dante" w:hAnsi="Dante"/>
                <w:sz w:val="16"/>
                <w:szCs w:val="16"/>
              </w:rPr>
            </w:pPr>
            <w:r w:rsidRPr="001B3969">
              <w:rPr>
                <w:rFonts w:ascii="Dante" w:hAnsi="Dante"/>
                <w:sz w:val="16"/>
                <w:szCs w:val="16"/>
              </w:rPr>
              <w:t>0.80 / 0.74</w:t>
            </w:r>
          </w:p>
        </w:tc>
        <w:tc>
          <w:tcPr>
            <w:tcW w:w="880" w:type="dxa"/>
            <w:noWrap/>
            <w:hideMark/>
          </w:tcPr>
          <w:p w14:paraId="2C2C29F0" w14:textId="77777777" w:rsidR="00974E23" w:rsidRPr="001B3969" w:rsidRDefault="00974E23" w:rsidP="008C0402">
            <w:pPr>
              <w:jc w:val="center"/>
              <w:rPr>
                <w:rFonts w:ascii="Dante" w:hAnsi="Dante"/>
                <w:sz w:val="16"/>
                <w:szCs w:val="16"/>
              </w:rPr>
            </w:pPr>
            <w:r w:rsidRPr="001B3969">
              <w:rPr>
                <w:rFonts w:ascii="Dante" w:hAnsi="Dante"/>
                <w:sz w:val="16"/>
                <w:szCs w:val="16"/>
              </w:rPr>
              <w:t>0.86 /0.66</w:t>
            </w:r>
          </w:p>
        </w:tc>
        <w:tc>
          <w:tcPr>
            <w:tcW w:w="960" w:type="dxa"/>
            <w:noWrap/>
            <w:hideMark/>
          </w:tcPr>
          <w:p w14:paraId="35519B5A" w14:textId="77777777" w:rsidR="00974E23" w:rsidRPr="001B3969" w:rsidRDefault="00974E23" w:rsidP="008C0402">
            <w:pPr>
              <w:jc w:val="center"/>
              <w:rPr>
                <w:rFonts w:ascii="Dante" w:hAnsi="Dante"/>
                <w:sz w:val="16"/>
                <w:szCs w:val="16"/>
              </w:rPr>
            </w:pPr>
            <w:r w:rsidRPr="001B3969">
              <w:rPr>
                <w:rFonts w:ascii="Dante" w:hAnsi="Dante"/>
                <w:sz w:val="16"/>
                <w:szCs w:val="16"/>
              </w:rPr>
              <w:t>0.87</w:t>
            </w:r>
          </w:p>
        </w:tc>
        <w:tc>
          <w:tcPr>
            <w:tcW w:w="4837" w:type="dxa"/>
            <w:noWrap/>
            <w:hideMark/>
          </w:tcPr>
          <w:p w14:paraId="16C1AA42" w14:textId="77777777" w:rsidR="00974E23" w:rsidRPr="001B3969" w:rsidRDefault="00974E23" w:rsidP="008C0402">
            <w:pPr>
              <w:jc w:val="center"/>
              <w:rPr>
                <w:rFonts w:ascii="Dante" w:hAnsi="Dante"/>
                <w:sz w:val="16"/>
                <w:szCs w:val="16"/>
              </w:rPr>
            </w:pPr>
            <w:r w:rsidRPr="001B3969">
              <w:rPr>
                <w:rFonts w:ascii="Dante" w:hAnsi="Dante"/>
                <w:sz w:val="16"/>
                <w:szCs w:val="16"/>
              </w:rPr>
              <w:t>'</w:t>
            </w:r>
            <w:proofErr w:type="spellStart"/>
            <w:r w:rsidRPr="001B3969">
              <w:rPr>
                <w:rFonts w:ascii="Dante" w:hAnsi="Dante"/>
                <w:sz w:val="16"/>
                <w:szCs w:val="16"/>
              </w:rPr>
              <w:t>learning_rate</w:t>
            </w:r>
            <w:proofErr w:type="spellEnd"/>
            <w:r w:rsidRPr="001B3969">
              <w:rPr>
                <w:rFonts w:ascii="Dante" w:hAnsi="Dante"/>
                <w:sz w:val="16"/>
                <w:szCs w:val="16"/>
              </w:rPr>
              <w:t>': 0.1, '</w:t>
            </w:r>
            <w:proofErr w:type="spellStart"/>
            <w:r w:rsidRPr="001B3969">
              <w:rPr>
                <w:rFonts w:ascii="Dante" w:hAnsi="Dante"/>
                <w:sz w:val="16"/>
                <w:szCs w:val="16"/>
              </w:rPr>
              <w:t>max_depth</w:t>
            </w:r>
            <w:proofErr w:type="spellEnd"/>
            <w:r w:rsidRPr="001B3969">
              <w:rPr>
                <w:rFonts w:ascii="Dante" w:hAnsi="Dante"/>
                <w:sz w:val="16"/>
                <w:szCs w:val="16"/>
              </w:rPr>
              <w:t>': 7, '</w:t>
            </w:r>
            <w:proofErr w:type="spellStart"/>
            <w:r w:rsidRPr="001B3969">
              <w:rPr>
                <w:rFonts w:ascii="Dante" w:hAnsi="Dante"/>
                <w:sz w:val="16"/>
                <w:szCs w:val="16"/>
              </w:rPr>
              <w:t>n_estimators</w:t>
            </w:r>
            <w:proofErr w:type="spellEnd"/>
            <w:r w:rsidRPr="001B3969">
              <w:rPr>
                <w:rFonts w:ascii="Dante" w:hAnsi="Dante"/>
                <w:sz w:val="16"/>
                <w:szCs w:val="16"/>
              </w:rPr>
              <w:t>': 35</w:t>
            </w:r>
          </w:p>
        </w:tc>
      </w:tr>
      <w:tr w:rsidR="00974E23" w:rsidRPr="00D50C5D" w14:paraId="4A9DDC37" w14:textId="77777777" w:rsidTr="00974E23">
        <w:trPr>
          <w:trHeight w:val="321"/>
        </w:trPr>
        <w:tc>
          <w:tcPr>
            <w:tcW w:w="1826" w:type="dxa"/>
            <w:noWrap/>
            <w:hideMark/>
          </w:tcPr>
          <w:p w14:paraId="7CA0B98C" w14:textId="77777777" w:rsidR="00974E23" w:rsidRPr="001B3969" w:rsidRDefault="00974E23" w:rsidP="008C0402">
            <w:pPr>
              <w:jc w:val="center"/>
              <w:rPr>
                <w:rFonts w:ascii="Dante" w:hAnsi="Dante"/>
                <w:sz w:val="16"/>
                <w:szCs w:val="16"/>
              </w:rPr>
            </w:pPr>
            <w:r w:rsidRPr="001B3969">
              <w:rPr>
                <w:rFonts w:ascii="Dante" w:hAnsi="Dante"/>
                <w:sz w:val="16"/>
                <w:szCs w:val="16"/>
              </w:rPr>
              <w:t>SVC</w:t>
            </w:r>
          </w:p>
        </w:tc>
        <w:tc>
          <w:tcPr>
            <w:tcW w:w="833" w:type="dxa"/>
            <w:noWrap/>
            <w:hideMark/>
          </w:tcPr>
          <w:p w14:paraId="3CFB3C0D" w14:textId="77777777" w:rsidR="00974E23" w:rsidRPr="001B3969" w:rsidRDefault="00974E23" w:rsidP="008C0402">
            <w:pPr>
              <w:jc w:val="center"/>
              <w:rPr>
                <w:rFonts w:ascii="Dante" w:hAnsi="Dante"/>
                <w:sz w:val="16"/>
                <w:szCs w:val="16"/>
              </w:rPr>
            </w:pPr>
            <w:r w:rsidRPr="001B3969">
              <w:rPr>
                <w:rFonts w:ascii="Dante" w:hAnsi="Dante"/>
                <w:sz w:val="16"/>
                <w:szCs w:val="16"/>
              </w:rPr>
              <w:t>0.80</w:t>
            </w:r>
          </w:p>
        </w:tc>
        <w:tc>
          <w:tcPr>
            <w:tcW w:w="913" w:type="dxa"/>
            <w:noWrap/>
            <w:hideMark/>
          </w:tcPr>
          <w:p w14:paraId="0D3B92DF" w14:textId="77777777" w:rsidR="00974E23" w:rsidRPr="001B3969" w:rsidRDefault="00974E23" w:rsidP="008C0402">
            <w:pPr>
              <w:jc w:val="center"/>
              <w:rPr>
                <w:rFonts w:ascii="Dante" w:hAnsi="Dante"/>
                <w:sz w:val="16"/>
                <w:szCs w:val="16"/>
              </w:rPr>
            </w:pPr>
            <w:r w:rsidRPr="001B3969">
              <w:rPr>
                <w:rFonts w:ascii="Dante" w:hAnsi="Dante"/>
                <w:sz w:val="16"/>
                <w:szCs w:val="16"/>
              </w:rPr>
              <w:t>0.82 / 0.75</w:t>
            </w:r>
          </w:p>
        </w:tc>
        <w:tc>
          <w:tcPr>
            <w:tcW w:w="880" w:type="dxa"/>
            <w:noWrap/>
            <w:hideMark/>
          </w:tcPr>
          <w:p w14:paraId="417E27D0" w14:textId="77777777" w:rsidR="00974E23" w:rsidRPr="001B3969" w:rsidRDefault="00974E23" w:rsidP="008C0402">
            <w:pPr>
              <w:jc w:val="center"/>
              <w:rPr>
                <w:rFonts w:ascii="Dante" w:hAnsi="Dante"/>
                <w:sz w:val="16"/>
                <w:szCs w:val="16"/>
              </w:rPr>
            </w:pPr>
            <w:r w:rsidRPr="001B3969">
              <w:rPr>
                <w:rFonts w:ascii="Dante" w:hAnsi="Dante"/>
                <w:sz w:val="16"/>
                <w:szCs w:val="16"/>
              </w:rPr>
              <w:t>0.85/ 0.70</w:t>
            </w:r>
          </w:p>
        </w:tc>
        <w:tc>
          <w:tcPr>
            <w:tcW w:w="960" w:type="dxa"/>
            <w:noWrap/>
            <w:hideMark/>
          </w:tcPr>
          <w:p w14:paraId="1FCA3640" w14:textId="77777777" w:rsidR="00974E23" w:rsidRPr="001B3969" w:rsidRDefault="00974E23" w:rsidP="008C0402">
            <w:pPr>
              <w:jc w:val="center"/>
              <w:rPr>
                <w:rFonts w:ascii="Dante" w:hAnsi="Dante"/>
                <w:sz w:val="16"/>
                <w:szCs w:val="16"/>
              </w:rPr>
            </w:pPr>
            <w:r w:rsidRPr="001B3969">
              <w:rPr>
                <w:rFonts w:ascii="Dante" w:hAnsi="Dante"/>
                <w:sz w:val="16"/>
                <w:szCs w:val="16"/>
              </w:rPr>
              <w:t>0.84</w:t>
            </w:r>
          </w:p>
        </w:tc>
        <w:tc>
          <w:tcPr>
            <w:tcW w:w="4837" w:type="dxa"/>
            <w:noWrap/>
            <w:hideMark/>
          </w:tcPr>
          <w:p w14:paraId="2B8FE701" w14:textId="77777777" w:rsidR="00974E23" w:rsidRPr="001B3969" w:rsidRDefault="00974E23" w:rsidP="008C0402">
            <w:pPr>
              <w:jc w:val="center"/>
              <w:rPr>
                <w:rFonts w:ascii="Dante" w:hAnsi="Dante"/>
                <w:sz w:val="16"/>
                <w:szCs w:val="16"/>
              </w:rPr>
            </w:pPr>
            <w:r w:rsidRPr="001B3969">
              <w:rPr>
                <w:rFonts w:ascii="Dante" w:hAnsi="Dante"/>
                <w:sz w:val="16"/>
                <w:szCs w:val="16"/>
              </w:rPr>
              <w:t>'C': 1.0, 'gamma': 'scale', 'kernel': 'poly'</w:t>
            </w:r>
          </w:p>
        </w:tc>
      </w:tr>
      <w:tr w:rsidR="00974E23" w:rsidRPr="00D50C5D" w14:paraId="7E3A6C1F" w14:textId="77777777" w:rsidTr="00974E23">
        <w:trPr>
          <w:trHeight w:val="321"/>
        </w:trPr>
        <w:tc>
          <w:tcPr>
            <w:tcW w:w="1826" w:type="dxa"/>
            <w:noWrap/>
            <w:hideMark/>
          </w:tcPr>
          <w:p w14:paraId="2516156E" w14:textId="77777777" w:rsidR="00974E23" w:rsidRPr="001B3969" w:rsidRDefault="00974E23" w:rsidP="008C0402">
            <w:pPr>
              <w:jc w:val="center"/>
              <w:rPr>
                <w:rFonts w:ascii="Dante" w:hAnsi="Dante"/>
                <w:sz w:val="16"/>
                <w:szCs w:val="16"/>
              </w:rPr>
            </w:pPr>
            <w:r w:rsidRPr="001B3969">
              <w:rPr>
                <w:rFonts w:ascii="Dante" w:hAnsi="Dante"/>
                <w:sz w:val="16"/>
                <w:szCs w:val="16"/>
              </w:rPr>
              <w:t>Ridge Classifier</w:t>
            </w:r>
          </w:p>
        </w:tc>
        <w:tc>
          <w:tcPr>
            <w:tcW w:w="833" w:type="dxa"/>
            <w:noWrap/>
            <w:hideMark/>
          </w:tcPr>
          <w:p w14:paraId="5B40E291" w14:textId="77777777" w:rsidR="00974E23" w:rsidRPr="001B3969" w:rsidRDefault="00974E23" w:rsidP="008C0402">
            <w:pPr>
              <w:jc w:val="center"/>
              <w:rPr>
                <w:rFonts w:ascii="Dante" w:hAnsi="Dante"/>
                <w:sz w:val="16"/>
                <w:szCs w:val="16"/>
              </w:rPr>
            </w:pPr>
            <w:r w:rsidRPr="001B3969">
              <w:rPr>
                <w:rFonts w:ascii="Dante" w:hAnsi="Dante"/>
                <w:sz w:val="16"/>
                <w:szCs w:val="16"/>
              </w:rPr>
              <w:t>0.82</w:t>
            </w:r>
          </w:p>
        </w:tc>
        <w:tc>
          <w:tcPr>
            <w:tcW w:w="913" w:type="dxa"/>
            <w:noWrap/>
            <w:hideMark/>
          </w:tcPr>
          <w:p w14:paraId="6340CB10" w14:textId="77777777" w:rsidR="00974E23" w:rsidRPr="001B3969" w:rsidRDefault="00974E23" w:rsidP="008C0402">
            <w:pPr>
              <w:jc w:val="center"/>
              <w:rPr>
                <w:rFonts w:ascii="Dante" w:hAnsi="Dante"/>
                <w:sz w:val="16"/>
                <w:szCs w:val="16"/>
              </w:rPr>
            </w:pPr>
            <w:r w:rsidRPr="001B3969">
              <w:rPr>
                <w:rFonts w:ascii="Dante" w:hAnsi="Dante"/>
                <w:sz w:val="16"/>
                <w:szCs w:val="16"/>
              </w:rPr>
              <w:t>0.85 / 0.77</w:t>
            </w:r>
          </w:p>
        </w:tc>
        <w:tc>
          <w:tcPr>
            <w:tcW w:w="880" w:type="dxa"/>
            <w:noWrap/>
            <w:hideMark/>
          </w:tcPr>
          <w:p w14:paraId="47BAFE5A" w14:textId="77777777" w:rsidR="00974E23" w:rsidRPr="001B3969" w:rsidRDefault="00974E23" w:rsidP="008C0402">
            <w:pPr>
              <w:jc w:val="center"/>
              <w:rPr>
                <w:rFonts w:ascii="Dante" w:hAnsi="Dante"/>
                <w:sz w:val="16"/>
                <w:szCs w:val="16"/>
              </w:rPr>
            </w:pPr>
            <w:r w:rsidRPr="001B3969">
              <w:rPr>
                <w:rFonts w:ascii="Dante" w:hAnsi="Dante"/>
                <w:sz w:val="16"/>
                <w:szCs w:val="16"/>
              </w:rPr>
              <w:t>0.86 / 0.75</w:t>
            </w:r>
          </w:p>
        </w:tc>
        <w:tc>
          <w:tcPr>
            <w:tcW w:w="960" w:type="dxa"/>
            <w:noWrap/>
            <w:hideMark/>
          </w:tcPr>
          <w:p w14:paraId="6BBC9EDB" w14:textId="77777777" w:rsidR="00974E23" w:rsidRPr="001B3969" w:rsidRDefault="00974E23" w:rsidP="008C0402">
            <w:pPr>
              <w:jc w:val="center"/>
              <w:rPr>
                <w:rFonts w:ascii="Dante" w:hAnsi="Dante"/>
                <w:sz w:val="16"/>
                <w:szCs w:val="16"/>
              </w:rPr>
            </w:pPr>
            <w:r w:rsidRPr="001B3969">
              <w:rPr>
                <w:rFonts w:ascii="Dante" w:hAnsi="Dante"/>
                <w:sz w:val="16"/>
                <w:szCs w:val="16"/>
              </w:rPr>
              <w:t>0.76</w:t>
            </w:r>
          </w:p>
        </w:tc>
        <w:tc>
          <w:tcPr>
            <w:tcW w:w="4837" w:type="dxa"/>
            <w:noWrap/>
            <w:hideMark/>
          </w:tcPr>
          <w:p w14:paraId="3E27216F" w14:textId="77777777" w:rsidR="00974E23" w:rsidRPr="001B3969" w:rsidRDefault="00974E23" w:rsidP="008C0402">
            <w:pPr>
              <w:jc w:val="center"/>
              <w:rPr>
                <w:rFonts w:ascii="Dante" w:hAnsi="Dante"/>
                <w:sz w:val="16"/>
                <w:szCs w:val="16"/>
              </w:rPr>
            </w:pPr>
            <w:r w:rsidRPr="001B3969">
              <w:rPr>
                <w:rFonts w:ascii="Dante" w:hAnsi="Dante"/>
                <w:sz w:val="16"/>
                <w:szCs w:val="16"/>
              </w:rPr>
              <w:t>'alpha': 0.9</w:t>
            </w:r>
          </w:p>
        </w:tc>
      </w:tr>
      <w:tr w:rsidR="00974E23" w:rsidRPr="00D50C5D" w14:paraId="0A788B4F" w14:textId="77777777" w:rsidTr="00974E23">
        <w:trPr>
          <w:trHeight w:val="321"/>
        </w:trPr>
        <w:tc>
          <w:tcPr>
            <w:tcW w:w="1826" w:type="dxa"/>
            <w:noWrap/>
            <w:hideMark/>
          </w:tcPr>
          <w:p w14:paraId="2252E86F" w14:textId="77777777" w:rsidR="00974E23" w:rsidRPr="001B3969" w:rsidRDefault="00974E23" w:rsidP="008C0402">
            <w:pPr>
              <w:jc w:val="center"/>
              <w:rPr>
                <w:rFonts w:ascii="Dante" w:hAnsi="Dante"/>
                <w:sz w:val="16"/>
                <w:szCs w:val="16"/>
              </w:rPr>
            </w:pPr>
            <w:r w:rsidRPr="001B3969">
              <w:rPr>
                <w:rFonts w:ascii="Dante" w:hAnsi="Dante"/>
                <w:sz w:val="16"/>
                <w:szCs w:val="16"/>
              </w:rPr>
              <w:t>Random Forest</w:t>
            </w:r>
          </w:p>
        </w:tc>
        <w:tc>
          <w:tcPr>
            <w:tcW w:w="833" w:type="dxa"/>
            <w:noWrap/>
            <w:hideMark/>
          </w:tcPr>
          <w:p w14:paraId="61ABB7E0" w14:textId="77777777" w:rsidR="00974E23" w:rsidRPr="001B3969" w:rsidRDefault="00974E23" w:rsidP="008C0402">
            <w:pPr>
              <w:jc w:val="center"/>
              <w:rPr>
                <w:rFonts w:ascii="Dante" w:hAnsi="Dante"/>
                <w:sz w:val="16"/>
                <w:szCs w:val="16"/>
              </w:rPr>
            </w:pPr>
            <w:r w:rsidRPr="001B3969">
              <w:rPr>
                <w:rFonts w:ascii="Dante" w:hAnsi="Dante"/>
                <w:sz w:val="16"/>
                <w:szCs w:val="16"/>
              </w:rPr>
              <w:t>0.70</w:t>
            </w:r>
          </w:p>
        </w:tc>
        <w:tc>
          <w:tcPr>
            <w:tcW w:w="913" w:type="dxa"/>
            <w:noWrap/>
            <w:hideMark/>
          </w:tcPr>
          <w:p w14:paraId="13B9E624" w14:textId="77777777" w:rsidR="00974E23" w:rsidRPr="001B3969" w:rsidRDefault="00974E23" w:rsidP="008C0402">
            <w:pPr>
              <w:jc w:val="center"/>
              <w:rPr>
                <w:rFonts w:ascii="Dante" w:hAnsi="Dante"/>
                <w:sz w:val="16"/>
                <w:szCs w:val="16"/>
              </w:rPr>
            </w:pPr>
            <w:r w:rsidRPr="001B3969">
              <w:rPr>
                <w:rFonts w:ascii="Dante" w:hAnsi="Dante"/>
                <w:sz w:val="16"/>
                <w:szCs w:val="16"/>
              </w:rPr>
              <w:t>0.73 / 0.63</w:t>
            </w:r>
          </w:p>
        </w:tc>
        <w:tc>
          <w:tcPr>
            <w:tcW w:w="880" w:type="dxa"/>
            <w:noWrap/>
            <w:hideMark/>
          </w:tcPr>
          <w:p w14:paraId="5DBEBDC8" w14:textId="77777777" w:rsidR="00974E23" w:rsidRPr="001B3969" w:rsidRDefault="00974E23" w:rsidP="008C0402">
            <w:pPr>
              <w:jc w:val="center"/>
              <w:rPr>
                <w:rFonts w:ascii="Dante" w:hAnsi="Dante"/>
                <w:sz w:val="16"/>
                <w:szCs w:val="16"/>
              </w:rPr>
            </w:pPr>
            <w:r w:rsidRPr="001B3969">
              <w:rPr>
                <w:rFonts w:ascii="Dante" w:hAnsi="Dante"/>
                <w:sz w:val="16"/>
                <w:szCs w:val="16"/>
              </w:rPr>
              <w:t>0.82 / 0.51</w:t>
            </w:r>
          </w:p>
        </w:tc>
        <w:tc>
          <w:tcPr>
            <w:tcW w:w="960" w:type="dxa"/>
            <w:noWrap/>
            <w:hideMark/>
          </w:tcPr>
          <w:p w14:paraId="79837F2A" w14:textId="77777777" w:rsidR="00974E23" w:rsidRPr="001B3969" w:rsidRDefault="00974E23" w:rsidP="008C0402">
            <w:pPr>
              <w:jc w:val="center"/>
              <w:rPr>
                <w:rFonts w:ascii="Dante" w:hAnsi="Dante"/>
                <w:sz w:val="16"/>
                <w:szCs w:val="16"/>
              </w:rPr>
            </w:pPr>
            <w:r w:rsidRPr="001B3969">
              <w:rPr>
                <w:rFonts w:ascii="Dante" w:hAnsi="Dante"/>
                <w:sz w:val="16"/>
                <w:szCs w:val="16"/>
              </w:rPr>
              <w:t>0.76</w:t>
            </w:r>
          </w:p>
        </w:tc>
        <w:tc>
          <w:tcPr>
            <w:tcW w:w="4837" w:type="dxa"/>
            <w:noWrap/>
            <w:hideMark/>
          </w:tcPr>
          <w:p w14:paraId="44B26279" w14:textId="77777777" w:rsidR="00974E23" w:rsidRPr="001B3969" w:rsidRDefault="00974E23" w:rsidP="008C0402">
            <w:pPr>
              <w:jc w:val="center"/>
              <w:rPr>
                <w:rFonts w:ascii="Dante" w:hAnsi="Dante"/>
                <w:sz w:val="16"/>
                <w:szCs w:val="16"/>
              </w:rPr>
            </w:pPr>
            <w:proofErr w:type="spellStart"/>
            <w:r w:rsidRPr="001B3969">
              <w:rPr>
                <w:rFonts w:ascii="Dante" w:hAnsi="Dante"/>
                <w:sz w:val="16"/>
                <w:szCs w:val="16"/>
              </w:rPr>
              <w:t>max_features</w:t>
            </w:r>
            <w:proofErr w:type="spellEnd"/>
            <w:r w:rsidRPr="001B3969">
              <w:rPr>
                <w:rFonts w:ascii="Dante" w:hAnsi="Dante"/>
                <w:sz w:val="16"/>
                <w:szCs w:val="16"/>
              </w:rPr>
              <w:t>': 'sqrt', '</w:t>
            </w:r>
            <w:proofErr w:type="spellStart"/>
            <w:r w:rsidRPr="001B3969">
              <w:rPr>
                <w:rFonts w:ascii="Dante" w:hAnsi="Dante"/>
                <w:sz w:val="16"/>
                <w:szCs w:val="16"/>
              </w:rPr>
              <w:t>n_estimators</w:t>
            </w:r>
            <w:proofErr w:type="spellEnd"/>
            <w:r w:rsidRPr="001B3969">
              <w:rPr>
                <w:rFonts w:ascii="Dante" w:hAnsi="Dante"/>
                <w:sz w:val="16"/>
                <w:szCs w:val="16"/>
              </w:rPr>
              <w:t>': 1000</w:t>
            </w:r>
          </w:p>
        </w:tc>
      </w:tr>
      <w:tr w:rsidR="00974E23" w:rsidRPr="00D50C5D" w14:paraId="5FC243CB" w14:textId="77777777" w:rsidTr="00974E23">
        <w:trPr>
          <w:trHeight w:val="321"/>
        </w:trPr>
        <w:tc>
          <w:tcPr>
            <w:tcW w:w="1826" w:type="dxa"/>
            <w:noWrap/>
            <w:hideMark/>
          </w:tcPr>
          <w:p w14:paraId="4D8516E3" w14:textId="77777777" w:rsidR="00974E23" w:rsidRPr="001B3969" w:rsidRDefault="00974E23" w:rsidP="008C0402">
            <w:pPr>
              <w:jc w:val="center"/>
              <w:rPr>
                <w:rFonts w:ascii="Dante" w:hAnsi="Dante"/>
                <w:sz w:val="16"/>
                <w:szCs w:val="16"/>
              </w:rPr>
            </w:pPr>
            <w:r w:rsidRPr="001B3969">
              <w:rPr>
                <w:rFonts w:ascii="Dante" w:hAnsi="Dante"/>
                <w:sz w:val="16"/>
                <w:szCs w:val="16"/>
              </w:rPr>
              <w:t>K-Nearest Neighbors</w:t>
            </w:r>
          </w:p>
        </w:tc>
        <w:tc>
          <w:tcPr>
            <w:tcW w:w="833" w:type="dxa"/>
            <w:noWrap/>
            <w:hideMark/>
          </w:tcPr>
          <w:p w14:paraId="05CBDD5B" w14:textId="77777777" w:rsidR="00974E23" w:rsidRPr="001B3969" w:rsidRDefault="00974E23" w:rsidP="008C0402">
            <w:pPr>
              <w:jc w:val="center"/>
              <w:rPr>
                <w:rFonts w:ascii="Dante" w:hAnsi="Dante"/>
                <w:sz w:val="16"/>
                <w:szCs w:val="16"/>
              </w:rPr>
            </w:pPr>
            <w:r w:rsidRPr="001B3969">
              <w:rPr>
                <w:rFonts w:ascii="Dante" w:hAnsi="Dante"/>
                <w:sz w:val="16"/>
                <w:szCs w:val="16"/>
              </w:rPr>
              <w:t>0.60</w:t>
            </w:r>
          </w:p>
        </w:tc>
        <w:tc>
          <w:tcPr>
            <w:tcW w:w="913" w:type="dxa"/>
            <w:noWrap/>
            <w:hideMark/>
          </w:tcPr>
          <w:p w14:paraId="78F7AC32" w14:textId="77777777" w:rsidR="00974E23" w:rsidRPr="001B3969" w:rsidRDefault="00974E23" w:rsidP="008C0402">
            <w:pPr>
              <w:jc w:val="center"/>
              <w:rPr>
                <w:rFonts w:ascii="Dante" w:hAnsi="Dante"/>
                <w:sz w:val="16"/>
                <w:szCs w:val="16"/>
              </w:rPr>
            </w:pPr>
            <w:r w:rsidRPr="001B3969">
              <w:rPr>
                <w:rFonts w:ascii="Dante" w:hAnsi="Dante"/>
                <w:sz w:val="16"/>
                <w:szCs w:val="16"/>
              </w:rPr>
              <w:t>0.64 / 0.46</w:t>
            </w:r>
          </w:p>
        </w:tc>
        <w:tc>
          <w:tcPr>
            <w:tcW w:w="880" w:type="dxa"/>
            <w:noWrap/>
            <w:hideMark/>
          </w:tcPr>
          <w:p w14:paraId="5095E696" w14:textId="77777777" w:rsidR="00974E23" w:rsidRPr="001B3969" w:rsidRDefault="00974E23" w:rsidP="008C0402">
            <w:pPr>
              <w:jc w:val="center"/>
              <w:rPr>
                <w:rFonts w:ascii="Dante" w:hAnsi="Dante"/>
                <w:sz w:val="16"/>
                <w:szCs w:val="16"/>
              </w:rPr>
            </w:pPr>
            <w:r w:rsidRPr="001B3969">
              <w:rPr>
                <w:rFonts w:ascii="Dante" w:hAnsi="Dante"/>
                <w:sz w:val="16"/>
                <w:szCs w:val="16"/>
              </w:rPr>
              <w:t>0.81 / 0.26</w:t>
            </w:r>
          </w:p>
        </w:tc>
        <w:tc>
          <w:tcPr>
            <w:tcW w:w="960" w:type="dxa"/>
            <w:noWrap/>
            <w:hideMark/>
          </w:tcPr>
          <w:p w14:paraId="21BBDC0A" w14:textId="77777777" w:rsidR="00974E23" w:rsidRPr="001B3969" w:rsidRDefault="00974E23" w:rsidP="008C0402">
            <w:pPr>
              <w:jc w:val="center"/>
              <w:rPr>
                <w:rFonts w:ascii="Dante" w:hAnsi="Dante"/>
                <w:sz w:val="16"/>
                <w:szCs w:val="16"/>
              </w:rPr>
            </w:pPr>
            <w:r w:rsidRPr="001B3969">
              <w:rPr>
                <w:rFonts w:ascii="Dante" w:hAnsi="Dante"/>
                <w:sz w:val="16"/>
                <w:szCs w:val="16"/>
              </w:rPr>
              <w:t>0.61</w:t>
            </w:r>
          </w:p>
        </w:tc>
        <w:tc>
          <w:tcPr>
            <w:tcW w:w="4837" w:type="dxa"/>
            <w:noWrap/>
            <w:hideMark/>
          </w:tcPr>
          <w:p w14:paraId="3EF5336A" w14:textId="77777777" w:rsidR="00974E23" w:rsidRPr="001B3969" w:rsidRDefault="00974E23" w:rsidP="008C0402">
            <w:pPr>
              <w:jc w:val="center"/>
              <w:rPr>
                <w:rFonts w:ascii="Dante" w:hAnsi="Dante"/>
                <w:sz w:val="16"/>
                <w:szCs w:val="16"/>
              </w:rPr>
            </w:pPr>
            <w:r w:rsidRPr="001B3969">
              <w:rPr>
                <w:rFonts w:ascii="Dante" w:hAnsi="Dante"/>
                <w:sz w:val="16"/>
                <w:szCs w:val="16"/>
              </w:rPr>
              <w:t>metric': '</w:t>
            </w:r>
            <w:proofErr w:type="spellStart"/>
            <w:r w:rsidRPr="001B3969">
              <w:rPr>
                <w:rFonts w:ascii="Dante" w:hAnsi="Dante"/>
                <w:sz w:val="16"/>
                <w:szCs w:val="16"/>
              </w:rPr>
              <w:t>manhattan</w:t>
            </w:r>
            <w:proofErr w:type="spellEnd"/>
            <w:r w:rsidRPr="001B3969">
              <w:rPr>
                <w:rFonts w:ascii="Dante" w:hAnsi="Dante"/>
                <w:sz w:val="16"/>
                <w:szCs w:val="16"/>
              </w:rPr>
              <w:t>', '</w:t>
            </w:r>
            <w:proofErr w:type="spellStart"/>
            <w:r w:rsidRPr="001B3969">
              <w:rPr>
                <w:rFonts w:ascii="Dante" w:hAnsi="Dante"/>
                <w:sz w:val="16"/>
                <w:szCs w:val="16"/>
              </w:rPr>
              <w:t>n_neighbors</w:t>
            </w:r>
            <w:proofErr w:type="spellEnd"/>
            <w:r w:rsidRPr="001B3969">
              <w:rPr>
                <w:rFonts w:ascii="Dante" w:hAnsi="Dante"/>
                <w:sz w:val="16"/>
                <w:szCs w:val="16"/>
              </w:rPr>
              <w:t>': 11, 'weights': 'distance'</w:t>
            </w:r>
          </w:p>
        </w:tc>
      </w:tr>
    </w:tbl>
    <w:p w14:paraId="1581C712" w14:textId="05373733" w:rsidR="001B3969" w:rsidRDefault="001B3969">
      <w:pPr>
        <w:rPr>
          <w:rFonts w:ascii="Dante" w:hAnsi="Dante"/>
          <w:sz w:val="36"/>
          <w:szCs w:val="36"/>
        </w:rPr>
      </w:pPr>
      <w:r w:rsidRPr="00DB3BAB">
        <w:rPr>
          <w:rFonts w:ascii="Dante" w:hAnsi="Dante"/>
          <w:sz w:val="24"/>
          <w:szCs w:val="24"/>
        </w:rPr>
        <w:t>Table 1</w:t>
      </w:r>
      <w:r w:rsidR="00DB3BAB">
        <w:rPr>
          <w:rFonts w:ascii="Dante" w:hAnsi="Dante"/>
          <w:sz w:val="24"/>
          <w:szCs w:val="24"/>
        </w:rPr>
        <w:t xml:space="preserve">- </w:t>
      </w:r>
      <w:r w:rsidR="00974E23">
        <w:rPr>
          <w:rFonts w:ascii="Dante" w:hAnsi="Dante"/>
          <w:sz w:val="24"/>
          <w:szCs w:val="24"/>
        </w:rPr>
        <w:t xml:space="preserve">Model performance summary </w:t>
      </w:r>
      <w:r w:rsidR="00DB3BAB">
        <w:rPr>
          <w:rFonts w:ascii="Dante" w:hAnsi="Dante"/>
          <w:sz w:val="24"/>
          <w:szCs w:val="24"/>
        </w:rPr>
        <w:t xml:space="preserve">statistics </w:t>
      </w:r>
      <w:r w:rsidR="00974E23">
        <w:rPr>
          <w:rFonts w:ascii="Dante" w:hAnsi="Dante"/>
          <w:sz w:val="24"/>
          <w:szCs w:val="24"/>
        </w:rPr>
        <w:t>for various binary classifiers</w:t>
      </w:r>
    </w:p>
    <w:p w14:paraId="3C854F11" w14:textId="77777777" w:rsidR="00974E23" w:rsidRDefault="00974E23" w:rsidP="00974E23">
      <w:pPr>
        <w:rPr>
          <w:rFonts w:ascii="Dante" w:hAnsi="Dante"/>
          <w:b/>
          <w:bCs/>
          <w:sz w:val="24"/>
          <w:szCs w:val="24"/>
        </w:rPr>
      </w:pPr>
    </w:p>
    <w:p w14:paraId="59037B3A" w14:textId="6CC95800" w:rsidR="00974E23" w:rsidRDefault="00974E23" w:rsidP="00974E23">
      <w:pPr>
        <w:rPr>
          <w:rFonts w:ascii="Dante" w:hAnsi="Dante"/>
          <w:b/>
          <w:bCs/>
          <w:sz w:val="24"/>
          <w:szCs w:val="24"/>
        </w:rPr>
      </w:pPr>
      <w:r>
        <w:rPr>
          <w:rFonts w:ascii="Dante" w:hAnsi="Dante"/>
          <w:b/>
          <w:bCs/>
          <w:sz w:val="24"/>
          <w:szCs w:val="24"/>
        </w:rPr>
        <w:t>References:</w:t>
      </w:r>
    </w:p>
    <w:p w14:paraId="0341DA89" w14:textId="655A74DD" w:rsidR="00974E23" w:rsidRDefault="00481208" w:rsidP="007E01EF">
      <w:pPr>
        <w:pStyle w:val="ListParagraph"/>
        <w:numPr>
          <w:ilvl w:val="0"/>
          <w:numId w:val="1"/>
        </w:numPr>
        <w:rPr>
          <w:rFonts w:ascii="Dante" w:hAnsi="Dante"/>
          <w:sz w:val="20"/>
          <w:szCs w:val="20"/>
        </w:rPr>
      </w:pPr>
      <w:hyperlink r:id="rId8" w:tgtFrame="_blank" w:history="1">
        <w:r w:rsidR="007E01EF" w:rsidRPr="007E01EF">
          <w:rPr>
            <w:rStyle w:val="Hyperlink"/>
            <w:rFonts w:ascii="Dante" w:hAnsi="Dante" w:cs="Arial"/>
            <w:color w:val="0563C1"/>
            <w:sz w:val="20"/>
            <w:szCs w:val="20"/>
            <w:shd w:val="clear" w:color="auto" w:fill="FFFFFF"/>
          </w:rPr>
          <w:t>https://www.mayoclinic.org/diseases-conditions/inflammatory-bowel-disease/symptoms-causes/syc-20353315</w:t>
        </w:r>
      </w:hyperlink>
    </w:p>
    <w:p w14:paraId="5A421E72" w14:textId="522E8C56" w:rsidR="007E01EF" w:rsidRPr="007E01EF" w:rsidRDefault="00481208" w:rsidP="007E01EF">
      <w:pPr>
        <w:pStyle w:val="ListParagraph"/>
        <w:numPr>
          <w:ilvl w:val="0"/>
          <w:numId w:val="1"/>
        </w:numPr>
        <w:rPr>
          <w:rFonts w:ascii="Dante" w:hAnsi="Dante"/>
          <w:sz w:val="20"/>
          <w:szCs w:val="20"/>
        </w:rPr>
      </w:pPr>
      <w:hyperlink r:id="rId9" w:anchor=":~:text=Inflammatory%20Bowel%20Disease%20Prevalence%20(IBD,%25%20or%202%20million%20adults)" w:history="1">
        <w:r w:rsidR="007E01EF" w:rsidRPr="00C7396D">
          <w:rPr>
            <w:rStyle w:val="Hyperlink"/>
            <w:rFonts w:ascii="Dante" w:hAnsi="Dante" w:cs="Arial"/>
            <w:sz w:val="20"/>
            <w:szCs w:val="20"/>
            <w:shd w:val="clear" w:color="auto" w:fill="FFFFFF"/>
          </w:rPr>
          <w:t>https://www.cdc.gov/ibd/data-statistics.htm#:~:text=Inflammatory%20Bowel%20Disease%20Prevalence%20(IBD,%25%20or%202%20million%20adults)</w:t>
        </w:r>
      </w:hyperlink>
      <w:r w:rsidR="007E01EF" w:rsidRPr="007E01EF">
        <w:rPr>
          <w:rFonts w:ascii="Dante" w:hAnsi="Dante" w:cs="Arial"/>
          <w:color w:val="263238"/>
          <w:sz w:val="20"/>
          <w:szCs w:val="20"/>
          <w:shd w:val="clear" w:color="auto" w:fill="FFFFFF"/>
        </w:rPr>
        <w:t>.</w:t>
      </w:r>
    </w:p>
    <w:p w14:paraId="5ECAB241" w14:textId="7401D14C" w:rsidR="007E01EF" w:rsidRDefault="007E01EF" w:rsidP="007E01EF">
      <w:pPr>
        <w:pStyle w:val="ListParagraph"/>
        <w:numPr>
          <w:ilvl w:val="0"/>
          <w:numId w:val="1"/>
        </w:numPr>
        <w:rPr>
          <w:rFonts w:ascii="Dante" w:hAnsi="Dante"/>
          <w:sz w:val="20"/>
          <w:szCs w:val="20"/>
        </w:rPr>
      </w:pPr>
      <w:r w:rsidRPr="007E01EF">
        <w:rPr>
          <w:rFonts w:ascii="Dante" w:hAnsi="Dante"/>
          <w:sz w:val="20"/>
          <w:szCs w:val="20"/>
        </w:rPr>
        <w:t xml:space="preserve">McDowell C, Farooq U, Haseeb M. Inflammatory Bowel Disease. [Updated 2020 Jun 28]. In: </w:t>
      </w:r>
      <w:proofErr w:type="spellStart"/>
      <w:r w:rsidRPr="007E01EF">
        <w:rPr>
          <w:rFonts w:ascii="Dante" w:hAnsi="Dante"/>
          <w:sz w:val="20"/>
          <w:szCs w:val="20"/>
        </w:rPr>
        <w:t>StatPearls</w:t>
      </w:r>
      <w:proofErr w:type="spellEnd"/>
      <w:r w:rsidRPr="007E01EF">
        <w:rPr>
          <w:rFonts w:ascii="Dante" w:hAnsi="Dante"/>
          <w:sz w:val="20"/>
          <w:szCs w:val="20"/>
        </w:rPr>
        <w:t xml:space="preserve"> [Internet]. Treasure Island (FL): </w:t>
      </w:r>
      <w:proofErr w:type="spellStart"/>
      <w:r w:rsidRPr="007E01EF">
        <w:rPr>
          <w:rFonts w:ascii="Dante" w:hAnsi="Dante"/>
          <w:sz w:val="20"/>
          <w:szCs w:val="20"/>
        </w:rPr>
        <w:t>StatPearls</w:t>
      </w:r>
      <w:proofErr w:type="spellEnd"/>
      <w:r w:rsidRPr="007E01EF">
        <w:rPr>
          <w:rFonts w:ascii="Dante" w:hAnsi="Dante"/>
          <w:sz w:val="20"/>
          <w:szCs w:val="20"/>
        </w:rPr>
        <w:t xml:space="preserve"> Publishing; 2020 Jan-. Available from: </w:t>
      </w:r>
      <w:hyperlink r:id="rId10" w:history="1">
        <w:r w:rsidRPr="00C7396D">
          <w:rPr>
            <w:rStyle w:val="Hyperlink"/>
            <w:rFonts w:ascii="Dante" w:hAnsi="Dante"/>
            <w:sz w:val="20"/>
            <w:szCs w:val="20"/>
          </w:rPr>
          <w:t>https://www.ncbi.nlm.nih.gov/books/NBK470312/</w:t>
        </w:r>
      </w:hyperlink>
    </w:p>
    <w:p w14:paraId="07E3ADC0" w14:textId="65E84836" w:rsidR="007E01EF" w:rsidRDefault="007E01EF" w:rsidP="007E01EF">
      <w:pPr>
        <w:pStyle w:val="ListParagraph"/>
        <w:numPr>
          <w:ilvl w:val="0"/>
          <w:numId w:val="1"/>
        </w:numPr>
        <w:rPr>
          <w:rFonts w:ascii="Dante" w:hAnsi="Dante"/>
          <w:sz w:val="20"/>
          <w:szCs w:val="20"/>
        </w:rPr>
      </w:pPr>
      <w:proofErr w:type="spellStart"/>
      <w:r w:rsidRPr="007E01EF">
        <w:rPr>
          <w:rFonts w:ascii="Dante" w:hAnsi="Dante"/>
          <w:sz w:val="20"/>
          <w:szCs w:val="20"/>
        </w:rPr>
        <w:t>Ek</w:t>
      </w:r>
      <w:proofErr w:type="spellEnd"/>
      <w:r w:rsidRPr="007E01EF">
        <w:rPr>
          <w:rFonts w:ascii="Dante" w:hAnsi="Dante"/>
          <w:sz w:val="20"/>
          <w:szCs w:val="20"/>
        </w:rPr>
        <w:t xml:space="preserve">, W. E., D'Amato, M., &amp; </w:t>
      </w:r>
      <w:proofErr w:type="spellStart"/>
      <w:r w:rsidRPr="007E01EF">
        <w:rPr>
          <w:rFonts w:ascii="Dante" w:hAnsi="Dante"/>
          <w:sz w:val="20"/>
          <w:szCs w:val="20"/>
        </w:rPr>
        <w:t>Halfvarson</w:t>
      </w:r>
      <w:proofErr w:type="spellEnd"/>
      <w:r w:rsidRPr="007E01EF">
        <w:rPr>
          <w:rFonts w:ascii="Dante" w:hAnsi="Dante"/>
          <w:sz w:val="20"/>
          <w:szCs w:val="20"/>
        </w:rPr>
        <w:t>, J. (2014). The history of genetics in inflammatory bowel disease. Annals of gastroenterology, 27(4), 294–303.</w:t>
      </w:r>
    </w:p>
    <w:p w14:paraId="1B272440" w14:textId="2606F51F" w:rsidR="007E01EF" w:rsidRDefault="007E01EF" w:rsidP="007E01EF">
      <w:pPr>
        <w:pStyle w:val="ListParagraph"/>
        <w:numPr>
          <w:ilvl w:val="0"/>
          <w:numId w:val="1"/>
        </w:numPr>
        <w:rPr>
          <w:rFonts w:ascii="Dante" w:hAnsi="Dante"/>
          <w:sz w:val="20"/>
          <w:szCs w:val="20"/>
        </w:rPr>
      </w:pPr>
      <w:r w:rsidRPr="007E01EF">
        <w:rPr>
          <w:rFonts w:ascii="Dante" w:hAnsi="Dante"/>
          <w:sz w:val="20"/>
          <w:szCs w:val="20"/>
        </w:rPr>
        <w:t xml:space="preserve">Chen, G. B., Lee, S. H., Montgomery, G. W., Wray, N. R., Visscher, P. M., </w:t>
      </w:r>
      <w:proofErr w:type="spellStart"/>
      <w:r w:rsidRPr="007E01EF">
        <w:rPr>
          <w:rFonts w:ascii="Dante" w:hAnsi="Dante"/>
          <w:sz w:val="20"/>
          <w:szCs w:val="20"/>
        </w:rPr>
        <w:t>Gearry</w:t>
      </w:r>
      <w:proofErr w:type="spellEnd"/>
      <w:r w:rsidRPr="007E01EF">
        <w:rPr>
          <w:rFonts w:ascii="Dante" w:hAnsi="Dante"/>
          <w:sz w:val="20"/>
          <w:szCs w:val="20"/>
        </w:rPr>
        <w:t xml:space="preserve">, R. B., </w:t>
      </w:r>
      <w:proofErr w:type="spellStart"/>
      <w:r w:rsidRPr="007E01EF">
        <w:rPr>
          <w:rFonts w:ascii="Dante" w:hAnsi="Dante"/>
          <w:sz w:val="20"/>
          <w:szCs w:val="20"/>
        </w:rPr>
        <w:t>Lawrance</w:t>
      </w:r>
      <w:proofErr w:type="spellEnd"/>
      <w:r w:rsidRPr="007E01EF">
        <w:rPr>
          <w:rFonts w:ascii="Dante" w:hAnsi="Dante"/>
          <w:sz w:val="20"/>
          <w:szCs w:val="20"/>
        </w:rPr>
        <w:t xml:space="preserve">, I. C., Andrews, J. M., Bampton, P., </w:t>
      </w:r>
      <w:proofErr w:type="spellStart"/>
      <w:r w:rsidRPr="007E01EF">
        <w:rPr>
          <w:rFonts w:ascii="Dante" w:hAnsi="Dante"/>
          <w:sz w:val="20"/>
          <w:szCs w:val="20"/>
        </w:rPr>
        <w:t>Mahy</w:t>
      </w:r>
      <w:proofErr w:type="spellEnd"/>
      <w:r w:rsidRPr="007E01EF">
        <w:rPr>
          <w:rFonts w:ascii="Dante" w:hAnsi="Dante"/>
          <w:sz w:val="20"/>
          <w:szCs w:val="20"/>
        </w:rPr>
        <w:t xml:space="preserve">, G., Bell, S., Walsh, A., Connor, S., Sparrow, M., Bowdler, L. M., Simms, L. A., </w:t>
      </w:r>
      <w:proofErr w:type="spellStart"/>
      <w:r w:rsidRPr="007E01EF">
        <w:rPr>
          <w:rFonts w:ascii="Dante" w:hAnsi="Dante"/>
          <w:sz w:val="20"/>
          <w:szCs w:val="20"/>
        </w:rPr>
        <w:t>Krishnaprasad</w:t>
      </w:r>
      <w:proofErr w:type="spellEnd"/>
      <w:r w:rsidRPr="007E01EF">
        <w:rPr>
          <w:rFonts w:ascii="Dante" w:hAnsi="Dante"/>
          <w:sz w:val="20"/>
          <w:szCs w:val="20"/>
        </w:rPr>
        <w:t xml:space="preserve">, K., International IBD Genetics Consortium, Radford-Smith, G. L., &amp; Moser, G. (2017). Performance of risk prediction for inflammatory bowel disease based on genotyping platform and genomic risk score method. BMC medical genetics, 18(1), 94. </w:t>
      </w:r>
      <w:hyperlink r:id="rId11" w:history="1">
        <w:r w:rsidRPr="00C7396D">
          <w:rPr>
            <w:rStyle w:val="Hyperlink"/>
            <w:rFonts w:ascii="Dante" w:hAnsi="Dante"/>
            <w:sz w:val="20"/>
            <w:szCs w:val="20"/>
          </w:rPr>
          <w:t>https://doi.org/10.1186/s12881-017-0451-2</w:t>
        </w:r>
      </w:hyperlink>
    </w:p>
    <w:p w14:paraId="57CB34D6" w14:textId="6BF5580F" w:rsidR="007E01EF" w:rsidRDefault="007E01EF" w:rsidP="007E01EF">
      <w:pPr>
        <w:pStyle w:val="ListParagraph"/>
        <w:numPr>
          <w:ilvl w:val="0"/>
          <w:numId w:val="1"/>
        </w:numPr>
        <w:rPr>
          <w:rFonts w:ascii="Dante" w:hAnsi="Dante"/>
          <w:sz w:val="20"/>
          <w:szCs w:val="20"/>
        </w:rPr>
      </w:pPr>
      <w:proofErr w:type="spellStart"/>
      <w:r w:rsidRPr="007E01EF">
        <w:rPr>
          <w:rFonts w:ascii="Dante" w:hAnsi="Dante"/>
          <w:sz w:val="20"/>
          <w:szCs w:val="20"/>
        </w:rPr>
        <w:lastRenderedPageBreak/>
        <w:t>Xue</w:t>
      </w:r>
      <w:proofErr w:type="spellEnd"/>
      <w:r w:rsidRPr="007E01EF">
        <w:rPr>
          <w:rFonts w:ascii="Dante" w:hAnsi="Dante"/>
          <w:sz w:val="20"/>
          <w:szCs w:val="20"/>
        </w:rPr>
        <w:t xml:space="preserve">, A., Wu, Y., Zhu, Z. et al. Genome-wide association analyses identify 143 risk variants and putative regulatory mechanisms for type 2 diabetes. Nat </w:t>
      </w:r>
      <w:proofErr w:type="spellStart"/>
      <w:r w:rsidRPr="007E01EF">
        <w:rPr>
          <w:rFonts w:ascii="Dante" w:hAnsi="Dante"/>
          <w:sz w:val="20"/>
          <w:szCs w:val="20"/>
        </w:rPr>
        <w:t>Commun</w:t>
      </w:r>
      <w:proofErr w:type="spellEnd"/>
      <w:r w:rsidRPr="007E01EF">
        <w:rPr>
          <w:rFonts w:ascii="Dante" w:hAnsi="Dante"/>
          <w:sz w:val="20"/>
          <w:szCs w:val="20"/>
        </w:rPr>
        <w:t xml:space="preserve"> 9, 2941 (2018). https://doi.org/10.1038/s41467-018-04951-w</w:t>
      </w:r>
    </w:p>
    <w:p w14:paraId="7CF422B6" w14:textId="1F06828E" w:rsidR="007E01EF" w:rsidRDefault="007E01EF" w:rsidP="007E01EF">
      <w:pPr>
        <w:pStyle w:val="ListParagraph"/>
        <w:numPr>
          <w:ilvl w:val="0"/>
          <w:numId w:val="1"/>
        </w:numPr>
        <w:rPr>
          <w:rFonts w:ascii="Dante" w:hAnsi="Dante"/>
          <w:sz w:val="20"/>
          <w:szCs w:val="20"/>
        </w:rPr>
      </w:pPr>
      <w:r w:rsidRPr="007E01EF">
        <w:rPr>
          <w:rFonts w:ascii="Dante" w:hAnsi="Dante"/>
          <w:sz w:val="20"/>
          <w:szCs w:val="20"/>
        </w:rPr>
        <w:t xml:space="preserve">Negroni, A., </w:t>
      </w:r>
      <w:proofErr w:type="spellStart"/>
      <w:r w:rsidRPr="007E01EF">
        <w:rPr>
          <w:rFonts w:ascii="Dante" w:hAnsi="Dante"/>
          <w:sz w:val="20"/>
          <w:szCs w:val="20"/>
        </w:rPr>
        <w:t>Pierdomenico</w:t>
      </w:r>
      <w:proofErr w:type="spellEnd"/>
      <w:r w:rsidRPr="007E01EF">
        <w:rPr>
          <w:rFonts w:ascii="Dante" w:hAnsi="Dante"/>
          <w:sz w:val="20"/>
          <w:szCs w:val="20"/>
        </w:rPr>
        <w:t xml:space="preserve">, M., </w:t>
      </w:r>
      <w:proofErr w:type="spellStart"/>
      <w:r w:rsidRPr="007E01EF">
        <w:rPr>
          <w:rFonts w:ascii="Dante" w:hAnsi="Dante"/>
          <w:sz w:val="20"/>
          <w:szCs w:val="20"/>
        </w:rPr>
        <w:t>Cucchiara</w:t>
      </w:r>
      <w:proofErr w:type="spellEnd"/>
      <w:r w:rsidRPr="007E01EF">
        <w:rPr>
          <w:rFonts w:ascii="Dante" w:hAnsi="Dante"/>
          <w:sz w:val="20"/>
          <w:szCs w:val="20"/>
        </w:rPr>
        <w:t xml:space="preserve">, S., &amp; </w:t>
      </w:r>
      <w:proofErr w:type="spellStart"/>
      <w:r w:rsidRPr="007E01EF">
        <w:rPr>
          <w:rFonts w:ascii="Dante" w:hAnsi="Dante"/>
          <w:sz w:val="20"/>
          <w:szCs w:val="20"/>
        </w:rPr>
        <w:t>Stronati</w:t>
      </w:r>
      <w:proofErr w:type="spellEnd"/>
      <w:r w:rsidRPr="007E01EF">
        <w:rPr>
          <w:rFonts w:ascii="Dante" w:hAnsi="Dante"/>
          <w:sz w:val="20"/>
          <w:szCs w:val="20"/>
        </w:rPr>
        <w:t xml:space="preserve">, L. (2018). NOD2 and inflammation: current insights. Journal of inflammation research, 11, 49–60. </w:t>
      </w:r>
      <w:hyperlink r:id="rId12" w:history="1">
        <w:r w:rsidRPr="00C7396D">
          <w:rPr>
            <w:rStyle w:val="Hyperlink"/>
            <w:rFonts w:ascii="Dante" w:hAnsi="Dante"/>
            <w:sz w:val="20"/>
            <w:szCs w:val="20"/>
          </w:rPr>
          <w:t>https://doi.org/10.2147/JIR.S137606</w:t>
        </w:r>
      </w:hyperlink>
    </w:p>
    <w:p w14:paraId="165C4706" w14:textId="4D06FDE0" w:rsidR="007E01EF" w:rsidRPr="007E01EF" w:rsidRDefault="007E01EF" w:rsidP="007E01EF">
      <w:pPr>
        <w:pStyle w:val="ListParagraph"/>
        <w:numPr>
          <w:ilvl w:val="0"/>
          <w:numId w:val="1"/>
        </w:numPr>
        <w:rPr>
          <w:rFonts w:ascii="Dante" w:hAnsi="Dante"/>
          <w:sz w:val="20"/>
          <w:szCs w:val="20"/>
        </w:rPr>
      </w:pPr>
      <w:r w:rsidRPr="007E01EF">
        <w:rPr>
          <w:rFonts w:ascii="Dante" w:hAnsi="Dante"/>
          <w:sz w:val="20"/>
          <w:szCs w:val="20"/>
        </w:rPr>
        <w:t xml:space="preserve">Large Sample Size, Wide Variant Spectrum, and Advanced Machine-Learning Technique Boost Risk Prediction for Inflammatory Bowel Disease Wei, </w:t>
      </w:r>
      <w:proofErr w:type="spellStart"/>
      <w:r w:rsidRPr="007E01EF">
        <w:rPr>
          <w:rFonts w:ascii="Dante" w:hAnsi="Dante"/>
          <w:sz w:val="20"/>
          <w:szCs w:val="20"/>
        </w:rPr>
        <w:t>Zhi</w:t>
      </w:r>
      <w:proofErr w:type="spellEnd"/>
      <w:r w:rsidRPr="007E01EF">
        <w:rPr>
          <w:rFonts w:ascii="Dante" w:hAnsi="Dante"/>
          <w:sz w:val="20"/>
          <w:szCs w:val="20"/>
        </w:rPr>
        <w:t xml:space="preserve"> et al. The American Journal of Human Genetics, Volume 92, Issue 6, 1008 – 1012 </w:t>
      </w:r>
      <w:hyperlink r:id="rId13" w:history="1">
        <w:r w:rsidRPr="007E01EF">
          <w:rPr>
            <w:rStyle w:val="Hyperlink"/>
            <w:rFonts w:ascii="Dante" w:hAnsi="Dante"/>
            <w:sz w:val="20"/>
            <w:szCs w:val="20"/>
          </w:rPr>
          <w:t>https://www.cell.com/ajhg/fulltext/S0002-9297(13)00215-2#secsectitle0030</w:t>
        </w:r>
      </w:hyperlink>
    </w:p>
    <w:p w14:paraId="6A8FFF37" w14:textId="22377CEA" w:rsidR="007E01EF" w:rsidRDefault="007E01EF" w:rsidP="007E01EF">
      <w:pPr>
        <w:pStyle w:val="ListParagraph"/>
        <w:numPr>
          <w:ilvl w:val="0"/>
          <w:numId w:val="1"/>
        </w:numPr>
        <w:rPr>
          <w:rFonts w:ascii="Dante" w:hAnsi="Dante"/>
          <w:sz w:val="20"/>
          <w:szCs w:val="20"/>
        </w:rPr>
      </w:pPr>
      <w:proofErr w:type="spellStart"/>
      <w:r w:rsidRPr="007E01EF">
        <w:rPr>
          <w:rFonts w:ascii="Dante" w:hAnsi="Dante"/>
          <w:sz w:val="20"/>
          <w:szCs w:val="20"/>
        </w:rPr>
        <w:t>Romagnoni</w:t>
      </w:r>
      <w:proofErr w:type="spellEnd"/>
      <w:r w:rsidRPr="007E01EF">
        <w:rPr>
          <w:rFonts w:ascii="Dante" w:hAnsi="Dante"/>
          <w:sz w:val="20"/>
          <w:szCs w:val="20"/>
        </w:rPr>
        <w:t xml:space="preserve">, A., </w:t>
      </w:r>
      <w:proofErr w:type="spellStart"/>
      <w:r w:rsidRPr="007E01EF">
        <w:rPr>
          <w:rFonts w:ascii="Dante" w:hAnsi="Dante"/>
          <w:sz w:val="20"/>
          <w:szCs w:val="20"/>
        </w:rPr>
        <w:t>Jégou</w:t>
      </w:r>
      <w:proofErr w:type="spellEnd"/>
      <w:r w:rsidRPr="007E01EF">
        <w:rPr>
          <w:rFonts w:ascii="Dante" w:hAnsi="Dante"/>
          <w:sz w:val="20"/>
          <w:szCs w:val="20"/>
        </w:rPr>
        <w:t xml:space="preserve">, S., Van Steen, K. et al. Comparative performances of machine learning methods for classifying Crohn Disease patients using genome-wide genotyping data. Sci Rep 9, 10351 (2019). </w:t>
      </w:r>
      <w:hyperlink r:id="rId14" w:history="1">
        <w:r w:rsidRPr="007E01EF">
          <w:rPr>
            <w:rStyle w:val="Hyperlink"/>
            <w:rFonts w:ascii="Dante" w:hAnsi="Dante"/>
            <w:sz w:val="20"/>
            <w:szCs w:val="20"/>
          </w:rPr>
          <w:t>https://doi.org/10.1038/s41598-019-46649-z</w:t>
        </w:r>
      </w:hyperlink>
    </w:p>
    <w:p w14:paraId="45BFE1A4" w14:textId="3B3F623F" w:rsidR="007E01EF" w:rsidRPr="007E01EF" w:rsidRDefault="007E01EF" w:rsidP="007E01EF">
      <w:pPr>
        <w:pStyle w:val="ListParagraph"/>
        <w:numPr>
          <w:ilvl w:val="0"/>
          <w:numId w:val="1"/>
        </w:numPr>
        <w:rPr>
          <w:rFonts w:ascii="Dante" w:hAnsi="Dante"/>
          <w:sz w:val="20"/>
          <w:szCs w:val="20"/>
        </w:rPr>
      </w:pPr>
      <w:r w:rsidRPr="007E01EF">
        <w:rPr>
          <w:rFonts w:ascii="Dante" w:hAnsi="Dante"/>
          <w:sz w:val="20"/>
          <w:szCs w:val="20"/>
        </w:rPr>
        <w:t xml:space="preserve">Dissecting Allele Architecture of Early Onset IBD Using High-Density Genotyping Cutler DJ, Zwick ME, </w:t>
      </w:r>
      <w:proofErr w:type="spellStart"/>
      <w:r w:rsidRPr="007E01EF">
        <w:rPr>
          <w:rFonts w:ascii="Dante" w:hAnsi="Dante"/>
          <w:sz w:val="20"/>
          <w:szCs w:val="20"/>
        </w:rPr>
        <w:t>Okou</w:t>
      </w:r>
      <w:proofErr w:type="spellEnd"/>
      <w:r w:rsidRPr="007E01EF">
        <w:rPr>
          <w:rFonts w:ascii="Dante" w:hAnsi="Dante"/>
          <w:sz w:val="20"/>
          <w:szCs w:val="20"/>
        </w:rPr>
        <w:t xml:space="preserve"> DT, Prahalad S, Walters T, et al. (2015) PLOS ONE 10(6): e0128074. </w:t>
      </w:r>
      <w:hyperlink r:id="rId15" w:history="1">
        <w:r w:rsidRPr="007E01EF">
          <w:rPr>
            <w:rStyle w:val="Hyperlink"/>
            <w:rFonts w:ascii="Dante" w:hAnsi="Dante"/>
            <w:sz w:val="20"/>
            <w:szCs w:val="20"/>
          </w:rPr>
          <w:t>https://doi.org/10.1371/journal.pone.0128074</w:t>
        </w:r>
      </w:hyperlink>
    </w:p>
    <w:sectPr w:rsidR="007E01EF" w:rsidRPr="007E0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nte">
    <w:altName w:val="Dante"/>
    <w:charset w:val="00"/>
    <w:family w:val="roman"/>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F373D4"/>
    <w:multiLevelType w:val="hybridMultilevel"/>
    <w:tmpl w:val="34C27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28"/>
    <w:rsid w:val="00080F98"/>
    <w:rsid w:val="00084FB1"/>
    <w:rsid w:val="000B5B8B"/>
    <w:rsid w:val="001B3969"/>
    <w:rsid w:val="00223DAA"/>
    <w:rsid w:val="00292516"/>
    <w:rsid w:val="002968B2"/>
    <w:rsid w:val="00316D3A"/>
    <w:rsid w:val="003518FB"/>
    <w:rsid w:val="003F5DE3"/>
    <w:rsid w:val="00417EE3"/>
    <w:rsid w:val="0043794C"/>
    <w:rsid w:val="00481208"/>
    <w:rsid w:val="0049051D"/>
    <w:rsid w:val="005565B2"/>
    <w:rsid w:val="00566D48"/>
    <w:rsid w:val="005A108B"/>
    <w:rsid w:val="006461BA"/>
    <w:rsid w:val="00711541"/>
    <w:rsid w:val="00787E9C"/>
    <w:rsid w:val="007D34CF"/>
    <w:rsid w:val="007E01EF"/>
    <w:rsid w:val="00812593"/>
    <w:rsid w:val="008C0402"/>
    <w:rsid w:val="00935A28"/>
    <w:rsid w:val="00943FCC"/>
    <w:rsid w:val="00974E23"/>
    <w:rsid w:val="009A47DC"/>
    <w:rsid w:val="009A5D8A"/>
    <w:rsid w:val="00A774B7"/>
    <w:rsid w:val="00B6744B"/>
    <w:rsid w:val="00D248C9"/>
    <w:rsid w:val="00D50C5D"/>
    <w:rsid w:val="00DB3BAB"/>
    <w:rsid w:val="00E2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367B"/>
  <w15:chartTrackingRefBased/>
  <w15:docId w15:val="{56AB62C0-93D4-4ACC-851B-D627E11F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D48"/>
    <w:rPr>
      <w:color w:val="0563C1" w:themeColor="hyperlink"/>
      <w:u w:val="single"/>
    </w:rPr>
  </w:style>
  <w:style w:type="character" w:styleId="UnresolvedMention">
    <w:name w:val="Unresolved Mention"/>
    <w:basedOn w:val="DefaultParagraphFont"/>
    <w:uiPriority w:val="99"/>
    <w:semiHidden/>
    <w:unhideWhenUsed/>
    <w:rsid w:val="00566D48"/>
    <w:rPr>
      <w:color w:val="605E5C"/>
      <w:shd w:val="clear" w:color="auto" w:fill="E1DFDD"/>
    </w:rPr>
  </w:style>
  <w:style w:type="table" w:styleId="TableGrid">
    <w:name w:val="Table Grid"/>
    <w:basedOn w:val="TableNormal"/>
    <w:uiPriority w:val="39"/>
    <w:rsid w:val="00D50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0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09868">
      <w:bodyDiv w:val="1"/>
      <w:marLeft w:val="0"/>
      <w:marRight w:val="0"/>
      <w:marTop w:val="0"/>
      <w:marBottom w:val="0"/>
      <w:divBdr>
        <w:top w:val="none" w:sz="0" w:space="0" w:color="auto"/>
        <w:left w:val="none" w:sz="0" w:space="0" w:color="auto"/>
        <w:bottom w:val="none" w:sz="0" w:space="0" w:color="auto"/>
        <w:right w:val="none" w:sz="0" w:space="0" w:color="auto"/>
      </w:divBdr>
    </w:div>
    <w:div w:id="1470785125">
      <w:bodyDiv w:val="1"/>
      <w:marLeft w:val="0"/>
      <w:marRight w:val="0"/>
      <w:marTop w:val="0"/>
      <w:marBottom w:val="0"/>
      <w:divBdr>
        <w:top w:val="none" w:sz="0" w:space="0" w:color="auto"/>
        <w:left w:val="none" w:sz="0" w:space="0" w:color="auto"/>
        <w:bottom w:val="none" w:sz="0" w:space="0" w:color="auto"/>
        <w:right w:val="none" w:sz="0" w:space="0" w:color="auto"/>
      </w:divBdr>
    </w:div>
    <w:div w:id="1514605597">
      <w:bodyDiv w:val="1"/>
      <w:marLeft w:val="0"/>
      <w:marRight w:val="0"/>
      <w:marTop w:val="0"/>
      <w:marBottom w:val="0"/>
      <w:divBdr>
        <w:top w:val="none" w:sz="0" w:space="0" w:color="auto"/>
        <w:left w:val="none" w:sz="0" w:space="0" w:color="auto"/>
        <w:bottom w:val="none" w:sz="0" w:space="0" w:color="auto"/>
        <w:right w:val="none" w:sz="0" w:space="0" w:color="auto"/>
      </w:divBdr>
    </w:div>
    <w:div w:id="202940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inflammatory-bowel-disease/symptoms-causes/syc-20353315" TargetMode="External"/><Relationship Id="rId13" Type="http://schemas.openxmlformats.org/officeDocument/2006/relationships/hyperlink" Target="https://www.cell.com/ajhg/fulltext/S0002-9297(13)00215-2%23secsectitle003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2147/JIR.S13760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ataverse.unc.edu/dataset.xhtml?persistentId=doi:10.15139/S3/11991" TargetMode="External"/><Relationship Id="rId11" Type="http://schemas.openxmlformats.org/officeDocument/2006/relationships/hyperlink" Target="https://doi.org/10.1186/s12881-017-0451-2" TargetMode="External"/><Relationship Id="rId5" Type="http://schemas.openxmlformats.org/officeDocument/2006/relationships/webSettings" Target="webSettings.xml"/><Relationship Id="rId15" Type="http://schemas.openxmlformats.org/officeDocument/2006/relationships/hyperlink" Target="https://doi.org/10.1371/journal.pone.0128074" TargetMode="External"/><Relationship Id="rId10" Type="http://schemas.openxmlformats.org/officeDocument/2006/relationships/hyperlink" Target="https://www.ncbi.nlm.nih.gov/books/NBK470312/" TargetMode="External"/><Relationship Id="rId4" Type="http://schemas.openxmlformats.org/officeDocument/2006/relationships/settings" Target="settings.xml"/><Relationship Id="rId9" Type="http://schemas.openxmlformats.org/officeDocument/2006/relationships/hyperlink" Target="https://www.cdc.gov/ibd/data-statistics.htm" TargetMode="External"/><Relationship Id="rId14" Type="http://schemas.openxmlformats.org/officeDocument/2006/relationships/hyperlink" Target="https://doi.org/10.1038/s41598-019-46649-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129A3-6FB3-4B6C-871B-AEBFBA0B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4</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dc:creator>
  <cp:keywords/>
  <dc:description/>
  <cp:lastModifiedBy>Samit</cp:lastModifiedBy>
  <cp:revision>17</cp:revision>
  <dcterms:created xsi:type="dcterms:W3CDTF">2020-12-20T16:27:00Z</dcterms:created>
  <dcterms:modified xsi:type="dcterms:W3CDTF">2020-12-21T02:08:00Z</dcterms:modified>
</cp:coreProperties>
</file>