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941" w:type="dxa"/>
        <w:jc w:val="start"/>
        <w:tblInd w:w="171" w:type="dxa"/>
        <w:tblLayout w:type="fixed"/>
        <w:tblCellMar>
          <w:top w:w="150" w:type="dxa"/>
          <w:start w:w="200" w:type="dxa"/>
          <w:bottom w:w="150" w:type="dxa"/>
          <w:end w:w="100" w:type="dxa"/>
        </w:tblCellMar>
        <w:tblLook w:val="04a0" w:noHBand="0" w:noVBand="1" w:firstColumn="1" w:lastRow="0" w:lastColumn="0" w:firstRow="1"/>
      </w:tblPr>
      <w:tblGrid>
        <w:gridCol w:w="5782"/>
        <w:gridCol w:w="4159"/>
      </w:tblGrid>
      <w:tr>
        <w:trPr/>
        <w:tc>
          <w:tcPr>
            <w:tcW w:w="5782" w:type="dxa"/>
            <w:tcBorders>
              <w:top w:val="nil"/>
              <w:start w:val="nil"/>
              <w:bottom w:val="nil"/>
              <w:end w:val="nil"/>
            </w:tcBorders>
            <w:shd w:color="auto" w:fill="1B4F8A" w:val="clear"/>
          </w:tcPr>
          <w:p>
            <w:pPr>
              <w:pStyle w:val="Normal"/>
              <w:widowControl/>
              <w:spacing w:lineRule="auto" w:line="240"/>
              <w:jc w:val="start"/>
              <w:rPr>
                <w:rFonts w:eastAsia="ＭＳ 明朝" w:cs=""/>
                <w:kern w:val="0"/>
                <w:szCs w:val="22"/>
                <w:lang w:val="en-US" w:eastAsia="en-US" w:bidi="ar-SA"/>
              </w:rPr>
            </w:pPr>
            <w:r>
              <w:rPr>
                <w:rFonts w:eastAsia="ＭＳ 明朝" w:cs=""/>
                <w:b/>
                <w:i w:val="false"/>
                <w:color w:val="FFFFFF"/>
                <w:kern w:val="0"/>
                <w:sz w:val="40"/>
                <w:szCs w:val="22"/>
                <w:lang w:val="en-US" w:eastAsia="en-US" w:bidi="ar-SA"/>
              </w:rPr>
              <w:t>MD SAMIUL ALAM SUMEL</w:t>
            </w:r>
          </w:p>
          <w:p>
            <w:pPr>
              <w:pStyle w:val="Normal"/>
              <w:widowControl/>
              <w:spacing w:lineRule="auto" w:line="240" w:before="80" w:after="0"/>
              <w:jc w:val="start"/>
              <w:rPr>
                <w:rFonts w:eastAsia="ＭＳ 明朝" w:cs=""/>
                <w:kern w:val="0"/>
                <w:szCs w:val="22"/>
                <w:lang w:val="en-US" w:eastAsia="en-US" w:bidi="ar-SA"/>
              </w:rPr>
            </w:pPr>
            <w:r>
              <w:rPr>
                <w:rFonts w:eastAsia="ＭＳ 明朝" w:cs=""/>
                <w:b w:val="false"/>
                <w:i w:val="false"/>
                <w:color w:val="D6E4F0"/>
                <w:kern w:val="0"/>
                <w:sz w:val="22"/>
                <w:szCs w:val="22"/>
                <w:lang w:val="en-US" w:eastAsia="en-US" w:bidi="ar-SA"/>
              </w:rPr>
              <w:t>Port Digital Operations Specialist</w:t>
            </w:r>
          </w:p>
          <w:p>
            <w:pPr>
              <w:pStyle w:val="Normal"/>
              <w:widowControl/>
              <w:spacing w:lineRule="auto" w:line="240" w:before="60" w:after="0"/>
              <w:jc w:val="start"/>
              <w:rPr>
                <w:rFonts w:eastAsia="ＭＳ 明朝" w:cs=""/>
                <w:kern w:val="0"/>
                <w:szCs w:val="22"/>
                <w:lang w:val="en-US" w:eastAsia="en-US" w:bidi="ar-SA"/>
              </w:rPr>
            </w:pPr>
            <w:r>
              <w:rPr>
                <w:rFonts w:eastAsia="ＭＳ 明朝" w:cs=""/>
                <w:b w:val="false"/>
                <w:i w:val="false"/>
                <w:color w:val="B8D4EA"/>
                <w:kern w:val="0"/>
                <w:sz w:val="18"/>
                <w:szCs w:val="22"/>
                <w:lang w:val="en-US" w:eastAsia="en-US" w:bidi="ar-SA"/>
              </w:rPr>
              <w:t>Port Billing · Cargo Operations · Process Digitization · Saudi Maritime</w:t>
            </w:r>
          </w:p>
        </w:tc>
        <w:tc>
          <w:tcPr>
            <w:tcW w:w="4159" w:type="dxa"/>
            <w:tcBorders>
              <w:top w:val="nil"/>
              <w:start w:val="nil"/>
              <w:bottom w:val="nil"/>
              <w:end w:val="nil"/>
            </w:tcBorders>
            <w:shd w:color="auto" w:fill="1B4F8A" w:val="clear"/>
            <w:tcMar>
              <w:start w:w="100" w:type="dxa"/>
              <w:end w:w="180" w:type="dxa"/>
            </w:tcMar>
          </w:tcPr>
          <w:p>
            <w:pPr>
              <w:pStyle w:val="Normal"/>
              <w:widowControl/>
              <w:spacing w:lineRule="auto" w:line="240"/>
              <w:jc w:val="both"/>
              <w:rPr>
                <w:rFonts w:eastAsia="ＭＳ 明朝" w:cs=""/>
                <w:kern w:val="0"/>
                <w:szCs w:val="22"/>
                <w:lang w:val="en-US" w:eastAsia="en-US" w:bidi="ar-SA"/>
              </w:rPr>
            </w:pPr>
            <w:r>
              <w:rPr>
                <w:rFonts w:eastAsia="ＭＳ 明朝" w:cs=""/>
                <w:b w:val="false"/>
                <w:i w:val="false"/>
                <w:color w:val="D6E4F0"/>
                <w:kern w:val="0"/>
                <w:sz w:val="18"/>
                <w:szCs w:val="22"/>
                <w:lang w:val="en-US" w:eastAsia="en-US" w:bidi="ar-SA"/>
              </w:rPr>
              <w:t>Mongla, Bangladesh</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FFFFFF"/>
                <w:kern w:val="0"/>
                <w:sz w:val="18"/>
                <w:szCs w:val="22"/>
                <w:lang w:val="en-US" w:eastAsia="en-US" w:bidi="ar-SA"/>
              </w:rPr>
              <w:t>+8801312312512</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FFFFFF"/>
                <w:kern w:val="0"/>
                <w:sz w:val="18"/>
                <w:szCs w:val="22"/>
                <w:lang w:val="en-US" w:eastAsia="en-US" w:bidi="ar-SA"/>
              </w:rPr>
              <w:t>sa.sumel91@gmail.com</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D6E4F0"/>
                <w:kern w:val="0"/>
                <w:sz w:val="18"/>
                <w:szCs w:val="22"/>
                <w:lang w:val="en-US" w:eastAsia="en-US" w:bidi="ar-SA"/>
              </w:rPr>
              <w:t>linkedin.com/in/samiul-alam-sumel</w:t>
            </w:r>
          </w:p>
        </w:tc>
      </w:tr>
    </w:tbl>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PROFESSIONAL SUMMARY</w:t>
      </w:r>
    </w:p>
    <w:p>
      <w:pPr>
        <w:pStyle w:val="Normal"/>
        <w:spacing w:before="80" w:after="40"/>
        <w:jc w:val="both"/>
        <w:rPr/>
      </w:pPr>
      <w:r>
        <w:rPr>
          <w:color w:val="1A1A1A"/>
          <w:sz w:val="19"/>
        </w:rPr>
        <w:t>12+ years at Mongla Port Authority — Bangladesh's second-largest international seaport handling vehicle imports, bulk cargo and general cargo. Deep expertise in wharfrent billing, cargo dwell time management, terminal operations and CF agent coordination. Independently identified real port workflow inefficiencies and designed 3 live web applications using AI-assisted development — problem definition, requirements and validation based on 12+ years port domain expertise — now actively used by CF agents and port staff.</w:t>
      </w:r>
    </w:p>
    <w:p>
      <w:pPr>
        <w:pStyle w:val="Normal"/>
        <w:spacing w:before="60" w:after="0"/>
        <w:jc w:val="both"/>
        <w:rPr/>
      </w:pPr>
      <w:r>
        <w:rPr/>
      </w:r>
    </w:p>
    <w:p>
      <w:pPr>
        <w:pStyle w:val="Normal"/>
        <w:spacing w:before="40" w:after="40"/>
        <w:jc w:val="both"/>
        <w:rPr/>
      </w:pPr>
      <w:r>
        <w:rPr>
          <w:b/>
          <w:i w:val="false"/>
          <w:color w:val="1B4F8A"/>
          <w:sz w:val="19"/>
        </w:rPr>
        <w:t>Target: Port Operations or Port IT Operations role in Saudi Arabia — 2027  |  DP World · Mawani · King Abdullah Port · NEOM Logistics · Kanoo Shipping</w:t>
      </w:r>
    </w:p>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CORE COMPETENCIES</w:t>
      </w:r>
    </w:p>
    <w:p>
      <w:pPr>
        <w:pStyle w:val="Normal"/>
        <w:spacing w:before="80" w:after="0"/>
        <w:jc w:val="both"/>
        <w:rPr/>
      </w:pPr>
      <w:r>
        <w:rPr/>
      </w:r>
    </w:p>
    <w:tbl>
      <w:tblPr>
        <w:tblStyle w:val="TableGrid"/>
        <w:tblW w:w="9941" w:type="dxa"/>
        <w:jc w:val="start"/>
        <w:tblInd w:w="165" w:type="dxa"/>
        <w:tblLayout w:type="fixed"/>
        <w:tblCellMar>
          <w:top w:w="100" w:type="dxa"/>
          <w:start w:w="140" w:type="dxa"/>
          <w:bottom w:w="100" w:type="dxa"/>
          <w:end w:w="80" w:type="dxa"/>
        </w:tblCellMar>
        <w:tblLook w:val="04a0" w:noHBand="0" w:noVBand="1" w:firstColumn="1" w:lastRow="0" w:lastColumn="0" w:firstRow="1"/>
      </w:tblPr>
      <w:tblGrid>
        <w:gridCol w:w="3164"/>
        <w:gridCol w:w="3327"/>
        <w:gridCol w:w="3450"/>
      </w:tblGrid>
      <w:tr>
        <w:trPr/>
        <w:tc>
          <w:tcPr>
            <w:tcW w:w="3164" w:type="dxa"/>
            <w:tcBorders>
              <w:top w:val="nil"/>
              <w:start w:val="nil"/>
              <w:bottom w:val="nil"/>
              <w:end w:val="nil"/>
            </w:tcBorders>
            <w:shd w:color="auto" w:fill="D6E4F0" w:val="clear"/>
          </w:tcPr>
          <w:p>
            <w:pPr>
              <w:pStyle w:val="Normal"/>
              <w:widowControl/>
              <w:spacing w:lineRule="auto" w:line="240"/>
              <w:jc w:val="both"/>
              <w:rPr>
                <w:rFonts w:eastAsia="ＭＳ 明朝" w:cs=""/>
                <w:kern w:val="0"/>
                <w:szCs w:val="22"/>
                <w:lang w:val="en-US" w:eastAsia="en-US" w:bidi="ar-SA"/>
              </w:rPr>
            </w:pPr>
            <w:r>
              <w:rPr>
                <w:rFonts w:eastAsia="ＭＳ 明朝" w:cs=""/>
                <w:b/>
                <w:i w:val="false"/>
                <w:color w:val="1B4F8A"/>
                <w:kern w:val="0"/>
                <w:sz w:val="18"/>
                <w:szCs w:val="22"/>
                <w:lang w:val="en-US" w:eastAsia="en-US" w:bidi="ar-SA"/>
              </w:rPr>
              <w:t>PORT OPERATIONS</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Wharfrent Billing &amp; Slab Calculation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Cargo Dwell Time Management</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CF Agent Coordination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Terminal Vehicle Tracking</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Revenue Reporting</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Port Automation System Usage</w:t>
            </w:r>
          </w:p>
        </w:tc>
        <w:tc>
          <w:tcPr>
            <w:tcW w:w="3327" w:type="dxa"/>
            <w:tcBorders>
              <w:top w:val="nil"/>
              <w:start w:val="nil"/>
              <w:bottom w:val="nil"/>
              <w:end w:val="nil"/>
            </w:tcBorders>
            <w:shd w:color="auto" w:fill="D6E4F0" w:val="clear"/>
          </w:tcPr>
          <w:p>
            <w:pPr>
              <w:pStyle w:val="Normal"/>
              <w:widowControl/>
              <w:spacing w:lineRule="auto" w:line="240"/>
              <w:jc w:val="both"/>
              <w:rPr>
                <w:rFonts w:eastAsia="ＭＳ 明朝" w:cs=""/>
                <w:kern w:val="0"/>
                <w:szCs w:val="22"/>
                <w:lang w:val="en-US" w:eastAsia="en-US" w:bidi="ar-SA"/>
              </w:rPr>
            </w:pPr>
            <w:r>
              <w:rPr>
                <w:rFonts w:eastAsia="ＭＳ 明朝" w:cs=""/>
                <w:b/>
                <w:i w:val="false"/>
                <w:color w:val="1B4F8A"/>
                <w:kern w:val="0"/>
                <w:sz w:val="18"/>
                <w:szCs w:val="22"/>
                <w:lang w:val="en-US" w:eastAsia="en-US" w:bidi="ar-SA"/>
              </w:rPr>
              <w:t>CARGO &amp; DOCUMENTATION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Customs Clearance Workflow</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Maritime Documentation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Jetty Statistics &amp; Reports</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Import/Delivery Records</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Advance Billing Estimation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Multi-location Cargo Tracking</w:t>
            </w:r>
          </w:p>
        </w:tc>
        <w:tc>
          <w:tcPr>
            <w:tcW w:w="3450" w:type="dxa"/>
            <w:tcBorders>
              <w:top w:val="nil"/>
              <w:start w:val="nil"/>
              <w:bottom w:val="nil"/>
              <w:end w:val="nil"/>
            </w:tcBorders>
            <w:shd w:color="auto" w:fill="D6E4F0" w:val="clear"/>
          </w:tcPr>
          <w:p>
            <w:pPr>
              <w:pStyle w:val="Normal"/>
              <w:widowControl/>
              <w:spacing w:lineRule="auto" w:line="240"/>
              <w:jc w:val="both"/>
              <w:rPr>
                <w:rFonts w:eastAsia="ＭＳ 明朝" w:cs=""/>
                <w:kern w:val="0"/>
                <w:szCs w:val="22"/>
                <w:lang w:val="en-US" w:eastAsia="en-US" w:bidi="ar-SA"/>
              </w:rPr>
            </w:pPr>
            <w:r>
              <w:rPr>
                <w:rFonts w:eastAsia="ＭＳ 明朝" w:cs=""/>
                <w:b/>
                <w:i w:val="false"/>
                <w:color w:val="1B4F8A"/>
                <w:kern w:val="0"/>
                <w:sz w:val="18"/>
                <w:szCs w:val="22"/>
                <w:lang w:val="en-US" w:eastAsia="en-US" w:bidi="ar-SA"/>
              </w:rPr>
              <w:t>DIGITAL &amp; TECHNICAL</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Process Digitization</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Web Application Development (AI)</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Firebase &amp; Cloud Deployment</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Linux Admin (RHCSA Pursuing)</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Data Analytics &amp; Dashboards</w:t>
            </w:r>
          </w:p>
          <w:p>
            <w:pPr>
              <w:pStyle w:val="Normal"/>
              <w:widowControl/>
              <w:spacing w:lineRule="auto" w:line="240" w:before="40" w:after="0"/>
              <w:jc w:val="both"/>
              <w:rPr>
                <w:rFonts w:eastAsia="ＭＳ 明朝" w:cs=""/>
                <w:kern w:val="0"/>
                <w:szCs w:val="22"/>
                <w:lang w:val="en-US" w:eastAsia="en-US" w:bidi="ar-SA"/>
              </w:rPr>
            </w:pPr>
            <w:r>
              <w:rPr>
                <w:rFonts w:eastAsia="ＭＳ 明朝" w:cs=""/>
                <w:b w:val="false"/>
                <w:i w:val="false"/>
                <w:color w:val="1A1A1A"/>
                <w:kern w:val="0"/>
                <w:sz w:val="18"/>
                <w:szCs w:val="22"/>
                <w:lang w:val="en-US" w:eastAsia="en-US" w:bidi="ar-SA"/>
              </w:rPr>
              <w:t>Arabic (Elementary — Learning)</w:t>
            </w:r>
          </w:p>
        </w:tc>
      </w:tr>
    </w:tbl>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WORK EXPERIENCE</w:t>
      </w:r>
    </w:p>
    <w:p>
      <w:pPr>
        <w:pStyle w:val="Normal"/>
        <w:tabs>
          <w:tab w:val="clear" w:pos="720"/>
          <w:tab w:val="right" w:pos="9354" w:leader="none"/>
        </w:tabs>
        <w:spacing w:before="240" w:after="60"/>
        <w:jc w:val="both"/>
        <w:rPr/>
      </w:pPr>
      <w:r>
        <w:rPr>
          <w:b/>
          <w:i w:val="false"/>
          <w:color w:val="1A1A1A"/>
          <w:sz w:val="20"/>
        </w:rPr>
        <w:t>Senior Outdoor Assistant — Port Operations &amp; IT Systems</w:t>
      </w:r>
      <w:r>
        <w:rPr>
          <w:b w:val="false"/>
          <w:i w:val="false"/>
          <w:color w:val="555555"/>
          <w:sz w:val="19"/>
        </w:rPr>
        <w:t xml:space="preserve">   |   </w:t>
      </w:r>
      <w:r>
        <w:rPr>
          <w:b/>
          <w:i w:val="false"/>
          <w:color w:val="1B4F8A"/>
          <w:sz w:val="19"/>
        </w:rPr>
        <w:t>Mongla Port Authority</w:t>
      </w:r>
      <w:r>
        <w:rPr>
          <w:b w:val="false"/>
          <w:i w:val="false"/>
          <w:sz w:val="19"/>
        </w:rPr>
        <w:tab/>
        <w:t xml:space="preserve"> </w:t>
      </w:r>
      <w:r>
        <w:rPr>
          <w:b w:val="false"/>
          <w:i/>
          <w:color w:val="555555"/>
          <w:sz w:val="19"/>
        </w:rPr>
        <w:t>Nov 2017 – Present</w:t>
      </w:r>
    </w:p>
    <w:p>
      <w:pPr>
        <w:pStyle w:val="Normal"/>
        <w:spacing w:before="40" w:after="40"/>
        <w:jc w:val="both"/>
        <w:rPr/>
      </w:pPr>
      <w:r>
        <w:rPr>
          <w:b w:val="false"/>
          <w:i/>
          <w:color w:val="555555"/>
          <w:sz w:val="18"/>
        </w:rPr>
        <w:t>Mongla Port Authority — Bangladesh's second-largest international seaport handling vehicle imports, bulk cargo and general cargo.</w:t>
      </w:r>
    </w:p>
    <w:p>
      <w:pPr>
        <w:pStyle w:val="Normal"/>
        <w:spacing w:before="40" w:after="0"/>
        <w:jc w:val="both"/>
        <w:rPr/>
      </w:pPr>
      <w:r>
        <w:rPr/>
      </w:r>
    </w:p>
    <w:p>
      <w:pPr>
        <w:pStyle w:val="Normal"/>
        <w:spacing w:before="160" w:after="60"/>
        <w:jc w:val="both"/>
        <w:rPr/>
      </w:pPr>
      <w:r>
        <w:rPr>
          <w:b/>
          <w:i w:val="false"/>
          <w:color w:val="1B4F8A"/>
          <w:sz w:val="19"/>
        </w:rPr>
        <w:t>Core Port Operations:</w:t>
      </w:r>
    </w:p>
    <w:p>
      <w:pPr>
        <w:pStyle w:val="Normal"/>
        <w:spacing w:before="40" w:after="40"/>
        <w:ind w:hanging="198" w:start="283"/>
        <w:jc w:val="both"/>
        <w:rPr/>
      </w:pPr>
      <w:r>
        <w:rPr>
          <w:b w:val="false"/>
          <w:i w:val="false"/>
          <w:color w:val="1B4F8A"/>
          <w:sz w:val="19"/>
        </w:rPr>
        <w:t xml:space="preserve">‣  </w:t>
      </w:r>
      <w:r>
        <w:rPr>
          <w:b w:val="false"/>
          <w:i w:val="false"/>
          <w:color w:val="1A1A1A"/>
          <w:sz w:val="19"/>
        </w:rPr>
        <w:t>Managed full cargo dwell time &amp; wharfrent billing cycle — slab-wise charges, VAT and levy computation for CF agents</w:t>
      </w:r>
    </w:p>
    <w:p>
      <w:pPr>
        <w:pStyle w:val="Normal"/>
        <w:spacing w:before="40" w:after="40"/>
        <w:ind w:hanging="198" w:start="283"/>
        <w:jc w:val="both"/>
        <w:rPr/>
      </w:pPr>
      <w:r>
        <w:rPr>
          <w:b w:val="false"/>
          <w:i w:val="false"/>
          <w:color w:val="1B4F8A"/>
          <w:sz w:val="19"/>
        </w:rPr>
        <w:t xml:space="preserve">‣  </w:t>
      </w:r>
      <w:r>
        <w:rPr>
          <w:b w:val="false"/>
          <w:i w:val="false"/>
          <w:color w:val="1A1A1A"/>
          <w:sz w:val="19"/>
        </w:rPr>
        <w:t>Provided advance billing estimates to CF agents — reducing vehicle dwell time and terminal counter dependency</w:t>
      </w:r>
    </w:p>
    <w:p>
      <w:pPr>
        <w:pStyle w:val="Normal"/>
        <w:spacing w:before="40" w:after="40"/>
        <w:ind w:hanging="198" w:start="283"/>
        <w:jc w:val="both"/>
        <w:rPr/>
      </w:pPr>
      <w:r>
        <w:rPr>
          <w:b w:val="false"/>
          <w:i w:val="false"/>
          <w:color w:val="1B4F8A"/>
          <w:sz w:val="19"/>
        </w:rPr>
        <w:t xml:space="preserve">‣  </w:t>
      </w:r>
      <w:r>
        <w:rPr>
          <w:b w:val="false"/>
          <w:i w:val="false"/>
          <w:color w:val="1A1A1A"/>
          <w:sz w:val="19"/>
        </w:rPr>
        <w:t>Tracked cargo &amp; vehicle positions across warehouse, shed and yard locations simultaneously</w:t>
      </w:r>
    </w:p>
    <w:p>
      <w:pPr>
        <w:pStyle w:val="Normal"/>
        <w:spacing w:before="40" w:after="40"/>
        <w:ind w:hanging="198" w:start="283"/>
        <w:jc w:val="both"/>
        <w:rPr/>
      </w:pPr>
      <w:r>
        <w:rPr>
          <w:b w:val="false"/>
          <w:i w:val="false"/>
          <w:color w:val="1B4F8A"/>
          <w:sz w:val="19"/>
        </w:rPr>
        <w:t xml:space="preserve">‣  </w:t>
      </w:r>
      <w:r>
        <w:rPr>
          <w:b w:val="false"/>
          <w:i w:val="false"/>
          <w:color w:val="1A1A1A"/>
          <w:sz w:val="19"/>
        </w:rPr>
        <w:t>Maintained daily/monthly revenue reports, cumulative income statements &amp; vehicle balance records</w:t>
      </w:r>
    </w:p>
    <w:p>
      <w:pPr>
        <w:pStyle w:val="Normal"/>
        <w:spacing w:before="40" w:after="40"/>
        <w:ind w:hanging="198" w:start="283"/>
        <w:jc w:val="both"/>
        <w:rPr/>
      </w:pPr>
      <w:r>
        <w:rPr>
          <w:b w:val="false"/>
          <w:i w:val="false"/>
          <w:color w:val="1B4F8A"/>
          <w:sz w:val="19"/>
        </w:rPr>
        <w:t xml:space="preserve">‣  </w:t>
      </w:r>
      <w:r>
        <w:rPr>
          <w:b w:val="false"/>
          <w:i w:val="false"/>
          <w:color w:val="1A1A1A"/>
          <w:sz w:val="19"/>
        </w:rPr>
        <w:t>Generated car import/delivery &amp; jetty statistics reports for port authority management</w:t>
      </w:r>
    </w:p>
    <w:p>
      <w:pPr>
        <w:pStyle w:val="Normal"/>
        <w:spacing w:before="40" w:after="40"/>
        <w:ind w:hanging="198" w:start="283"/>
        <w:jc w:val="both"/>
        <w:rPr/>
      </w:pPr>
      <w:r>
        <w:rPr>
          <w:b w:val="false"/>
          <w:i w:val="false"/>
          <w:color w:val="1B4F8A"/>
          <w:sz w:val="19"/>
        </w:rPr>
        <w:t xml:space="preserve">‣  </w:t>
      </w:r>
      <w:r>
        <w:rPr>
          <w:b w:val="false"/>
          <w:i w:val="false"/>
          <w:color w:val="1A1A1A"/>
          <w:sz w:val="19"/>
        </w:rPr>
        <w:t>Coordinated CF agent documentation, billing queries &amp; advance payment planning</w:t>
      </w:r>
    </w:p>
    <w:p>
      <w:pPr>
        <w:pStyle w:val="Normal"/>
        <w:spacing w:before="40" w:after="40"/>
        <w:ind w:hanging="198" w:start="283"/>
        <w:jc w:val="both"/>
        <w:rPr/>
      </w:pPr>
      <w:r>
        <w:rPr>
          <w:b w:val="false"/>
          <w:i w:val="false"/>
          <w:color w:val="1B4F8A"/>
          <w:sz w:val="19"/>
        </w:rPr>
        <w:t xml:space="preserve">‣  </w:t>
      </w:r>
      <w:r>
        <w:rPr>
          <w:b w:val="false"/>
          <w:i w:val="false"/>
          <w:color w:val="1A1A1A"/>
          <w:sz w:val="19"/>
        </w:rPr>
        <w:t>Operated port automation billing system — managing full wharfrent computation workflow</w:t>
      </w:r>
    </w:p>
    <w:p>
      <w:pPr>
        <w:pStyle w:val="Normal"/>
        <w:spacing w:before="60" w:after="0"/>
        <w:jc w:val="both"/>
        <w:rPr/>
      </w:pPr>
      <w:r>
        <w:rPr/>
      </w:r>
    </w:p>
    <w:p>
      <w:pPr>
        <w:pStyle w:val="Normal"/>
        <w:spacing w:before="160" w:after="60"/>
        <w:jc w:val="both"/>
        <w:rPr/>
      </w:pPr>
      <w:r>
        <w:rPr>
          <w:b/>
          <w:i w:val="false"/>
          <w:color w:val="1B4F8A"/>
          <w:sz w:val="19"/>
        </w:rPr>
        <w:t>Self-Initiated Digital Work:</w:t>
      </w:r>
    </w:p>
    <w:p>
      <w:pPr>
        <w:pStyle w:val="Normal"/>
        <w:spacing w:before="40" w:after="40"/>
        <w:ind w:hanging="198" w:start="283"/>
        <w:jc w:val="both"/>
        <w:rPr/>
      </w:pPr>
      <w:r>
        <w:rPr>
          <w:b w:val="false"/>
          <w:i w:val="false"/>
          <w:color w:val="1B4F8A"/>
          <w:sz w:val="19"/>
        </w:rPr>
        <w:t xml:space="preserve">‣  </w:t>
      </w:r>
      <w:r>
        <w:rPr>
          <w:b w:val="false"/>
          <w:i w:val="false"/>
          <w:color w:val="1A1A1A"/>
          <w:sz w:val="19"/>
        </w:rPr>
        <w:t>Identified critical inefficiencies in manual paper-based billing and tracking workflows</w:t>
      </w:r>
    </w:p>
    <w:p>
      <w:pPr>
        <w:pStyle w:val="Normal"/>
        <w:spacing w:before="40" w:after="40"/>
        <w:ind w:hanging="198" w:start="283"/>
        <w:jc w:val="both"/>
        <w:rPr/>
      </w:pPr>
      <w:r>
        <w:rPr>
          <w:color w:val="1B4F8A"/>
          <w:sz w:val="19"/>
        </w:rPr>
        <w:t xml:space="preserve">‣  </w:t>
      </w:r>
      <w:r>
        <w:rPr>
          <w:color w:val="1A1A1A"/>
          <w:sz w:val="19"/>
        </w:rPr>
        <w:t>Designed and deployed 3 live web applications using AI-assisted development — domain expertise directed the AI, real CF agents and port staff use the systems daily</w:t>
      </w:r>
    </w:p>
    <w:p>
      <w:pPr>
        <w:pStyle w:val="Normal"/>
        <w:spacing w:before="40" w:after="40"/>
        <w:ind w:hanging="198" w:start="283"/>
        <w:jc w:val="both"/>
        <w:rPr/>
      </w:pPr>
      <w:r>
        <w:rPr>
          <w:b w:val="false"/>
          <w:i w:val="false"/>
          <w:color w:val="1B4F8A"/>
          <w:sz w:val="19"/>
        </w:rPr>
        <w:t xml:space="preserve">‣  </w:t>
      </w:r>
      <w:r>
        <w:rPr>
          <w:b w:val="false"/>
          <w:i w:val="false"/>
          <w:color w:val="1A1A1A"/>
          <w:sz w:val="19"/>
        </w:rPr>
        <w:t>portbill.vercel.app — advance wharfrent calculator for C&amp;F agents, avoiding permanent system entries</w:t>
      </w:r>
    </w:p>
    <w:p>
      <w:pPr>
        <w:pStyle w:val="Normal"/>
        <w:spacing w:before="40" w:after="40"/>
        <w:ind w:hanging="198" w:start="283"/>
        <w:jc w:val="both"/>
        <w:rPr/>
      </w:pPr>
      <w:r>
        <w:rPr>
          <w:b w:val="false"/>
          <w:i w:val="false"/>
          <w:color w:val="1B4F8A"/>
          <w:sz w:val="19"/>
        </w:rPr>
        <w:t xml:space="preserve">‣  </w:t>
      </w:r>
      <w:r>
        <w:rPr>
          <w:b w:val="false"/>
          <w:i w:val="false"/>
          <w:color w:val="1A1A1A"/>
          <w:sz w:val="19"/>
        </w:rPr>
        <w:t>otbill.vercel.app — OT billing web tool replacing manual Excel for all port staff</w:t>
      </w:r>
    </w:p>
    <w:p>
      <w:pPr>
        <w:pStyle w:val="Normal"/>
        <w:spacing w:before="40" w:after="40"/>
        <w:ind w:hanging="198" w:start="283"/>
        <w:jc w:val="both"/>
        <w:rPr/>
      </w:pPr>
      <w:r>
        <w:rPr>
          <w:b w:val="false"/>
          <w:i w:val="false"/>
          <w:color w:val="1B4F8A"/>
          <w:sz w:val="19"/>
        </w:rPr>
        <w:t xml:space="preserve">‣  </w:t>
      </w:r>
      <w:r>
        <w:rPr>
          <w:b w:val="false"/>
          <w:i w:val="false"/>
          <w:color w:val="1A1A1A"/>
          <w:sz w:val="19"/>
        </w:rPr>
        <w:t>monthly-car-balance.vercel.app — live vehicle tracking replacing personal Excel with cloud dashboard</w:t>
      </w:r>
    </w:p>
    <w:p>
      <w:pPr>
        <w:pStyle w:val="Normal"/>
        <w:spacing w:before="120" w:after="0"/>
        <w:jc w:val="both"/>
        <w:rPr/>
      </w:pPr>
      <w:r>
        <w:rPr/>
      </w:r>
    </w:p>
    <w:p>
      <w:pPr>
        <w:pStyle w:val="Normal"/>
        <w:tabs>
          <w:tab w:val="clear" w:pos="720"/>
          <w:tab w:val="right" w:pos="9354" w:leader="none"/>
        </w:tabs>
        <w:spacing w:before="240" w:after="60"/>
        <w:jc w:val="both"/>
        <w:rPr/>
      </w:pPr>
      <w:r>
        <w:rPr>
          <w:b/>
          <w:i w:val="false"/>
          <w:color w:val="1A1A1A"/>
          <w:sz w:val="20"/>
        </w:rPr>
        <w:t>Junior Outdoor Assistant — Port &amp; Terminal Operations</w:t>
      </w:r>
      <w:r>
        <w:rPr>
          <w:b w:val="false"/>
          <w:i w:val="false"/>
          <w:color w:val="555555"/>
          <w:sz w:val="19"/>
        </w:rPr>
        <w:t xml:space="preserve">   |   </w:t>
      </w:r>
      <w:r>
        <w:rPr>
          <w:b/>
          <w:i w:val="false"/>
          <w:color w:val="1B4F8A"/>
          <w:sz w:val="19"/>
        </w:rPr>
        <w:t>Mongla Port Authority</w:t>
      </w:r>
      <w:r>
        <w:rPr>
          <w:b w:val="false"/>
          <w:i w:val="false"/>
          <w:sz w:val="19"/>
        </w:rPr>
        <w:tab/>
        <w:t xml:space="preserve"> </w:t>
      </w:r>
      <w:r>
        <w:rPr>
          <w:b w:val="false"/>
          <w:i/>
          <w:color w:val="555555"/>
          <w:sz w:val="19"/>
        </w:rPr>
        <w:t>Nov 2013 – Nov 2017</w:t>
      </w:r>
    </w:p>
    <w:p>
      <w:pPr>
        <w:pStyle w:val="Normal"/>
        <w:spacing w:before="40" w:after="40"/>
        <w:jc w:val="both"/>
        <w:rPr/>
      </w:pPr>
      <w:r>
        <w:rPr>
          <w:b w:val="false"/>
          <w:i/>
          <w:color w:val="555555"/>
          <w:sz w:val="18"/>
        </w:rPr>
        <w:t>Foundation of 12+ year uninterrupted career at Bangladesh's second-largest international seaport.</w:t>
      </w:r>
    </w:p>
    <w:p>
      <w:pPr>
        <w:pStyle w:val="Normal"/>
        <w:spacing w:before="40" w:after="0"/>
        <w:jc w:val="both"/>
        <w:rPr/>
      </w:pPr>
      <w:r>
        <w:rPr/>
      </w:r>
    </w:p>
    <w:p>
      <w:pPr>
        <w:pStyle w:val="Normal"/>
        <w:spacing w:before="40" w:after="40"/>
        <w:ind w:hanging="198" w:start="283"/>
        <w:jc w:val="both"/>
        <w:rPr/>
      </w:pPr>
      <w:r>
        <w:rPr>
          <w:b w:val="false"/>
          <w:i w:val="false"/>
          <w:color w:val="1B4F8A"/>
          <w:sz w:val="19"/>
        </w:rPr>
        <w:t xml:space="preserve">‣  </w:t>
      </w:r>
      <w:r>
        <w:rPr>
          <w:b w:val="false"/>
          <w:i w:val="false"/>
          <w:color w:val="1A1A1A"/>
          <w:sz w:val="19"/>
        </w:rPr>
        <w:t>Assisted in port inspections, vessel operations and cargo handling under senior supervision</w:t>
      </w:r>
    </w:p>
    <w:p>
      <w:pPr>
        <w:pStyle w:val="Normal"/>
        <w:spacing w:before="40" w:after="40"/>
        <w:ind w:hanging="198" w:start="283"/>
        <w:jc w:val="both"/>
        <w:rPr/>
      </w:pPr>
      <w:r>
        <w:rPr>
          <w:b w:val="false"/>
          <w:i w:val="false"/>
          <w:color w:val="1B4F8A"/>
          <w:sz w:val="19"/>
        </w:rPr>
        <w:t xml:space="preserve">‣  </w:t>
      </w:r>
      <w:r>
        <w:rPr>
          <w:b w:val="false"/>
          <w:i w:val="false"/>
          <w:color w:val="1A1A1A"/>
          <w:sz w:val="19"/>
        </w:rPr>
        <w:t>Monitored cargo dwell time and vehicle positioning across terminal locations</w:t>
      </w:r>
    </w:p>
    <w:p>
      <w:pPr>
        <w:pStyle w:val="Normal"/>
        <w:spacing w:before="40" w:after="40"/>
        <w:ind w:hanging="198" w:start="283"/>
        <w:jc w:val="both"/>
        <w:rPr/>
      </w:pPr>
      <w:r>
        <w:rPr>
          <w:b w:val="false"/>
          <w:i w:val="false"/>
          <w:color w:val="1B4F8A"/>
          <w:sz w:val="19"/>
        </w:rPr>
        <w:t xml:space="preserve">‣  </w:t>
      </w:r>
      <w:r>
        <w:rPr>
          <w:b w:val="false"/>
          <w:i w:val="false"/>
          <w:color w:val="1A1A1A"/>
          <w:sz w:val="19"/>
        </w:rPr>
        <w:t>Maintained inspection reports, cargo handling records and incident logs</w:t>
      </w:r>
    </w:p>
    <w:p>
      <w:pPr>
        <w:pStyle w:val="Normal"/>
        <w:spacing w:before="40" w:after="40"/>
        <w:ind w:hanging="198" w:start="283"/>
        <w:jc w:val="both"/>
        <w:rPr/>
      </w:pPr>
      <w:r>
        <w:rPr>
          <w:b w:val="false"/>
          <w:i w:val="false"/>
          <w:color w:val="1B4F8A"/>
          <w:sz w:val="19"/>
        </w:rPr>
        <w:t xml:space="preserve">‣  </w:t>
      </w:r>
      <w:r>
        <w:rPr>
          <w:b w:val="false"/>
          <w:i w:val="false"/>
          <w:color w:val="1A1A1A"/>
          <w:sz w:val="19"/>
        </w:rPr>
        <w:t>Coordinated with CF agents for efficient cargo clearance workflows</w:t>
      </w:r>
    </w:p>
    <w:p>
      <w:pPr>
        <w:pStyle w:val="Normal"/>
        <w:spacing w:before="40" w:after="40"/>
        <w:ind w:hanging="198" w:start="283"/>
        <w:jc w:val="both"/>
        <w:rPr/>
      </w:pPr>
      <w:r>
        <w:rPr>
          <w:b w:val="false"/>
          <w:i w:val="false"/>
          <w:color w:val="1B4F8A"/>
          <w:sz w:val="19"/>
        </w:rPr>
        <w:t xml:space="preserve">‣  </w:t>
      </w:r>
      <w:r>
        <w:rPr>
          <w:b w:val="false"/>
          <w:i w:val="false"/>
          <w:color w:val="1A1A1A"/>
          <w:sz w:val="19"/>
        </w:rPr>
        <w:t>Built foundational expertise in wharfrent billing, maritime logistics and customs clearance</w:t>
      </w:r>
    </w:p>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LIVE PORT SYSTEMS — SELF-BUILT</w:t>
      </w:r>
    </w:p>
    <w:p>
      <w:pPr>
        <w:pStyle w:val="Normal"/>
        <w:spacing w:before="160" w:after="60"/>
        <w:jc w:val="both"/>
        <w:rPr/>
      </w:pPr>
      <w:r>
        <w:rPr>
          <w:b/>
          <w:i w:val="false"/>
          <w:color w:val="1A1A1A"/>
          <w:sz w:val="20"/>
        </w:rPr>
        <w:t>Port Billing Web Application</w:t>
      </w:r>
      <w:r>
        <w:rPr>
          <w:b w:val="false"/>
          <w:i w:val="false"/>
          <w:color w:val="555555"/>
          <w:sz w:val="19"/>
        </w:rPr>
        <w:t xml:space="preserve">   |   </w:t>
      </w:r>
      <w:r>
        <w:rPr>
          <w:b w:val="false"/>
          <w:i w:val="false"/>
          <w:color w:val="1B4F8A"/>
          <w:sz w:val="19"/>
        </w:rPr>
        <w:t>portbill.vercel.app</w:t>
      </w:r>
    </w:p>
    <w:p>
      <w:pPr>
        <w:pStyle w:val="Normal"/>
        <w:spacing w:before="40" w:after="40"/>
        <w:jc w:val="both"/>
        <w:rPr/>
      </w:pPr>
      <w:r>
        <w:rPr>
          <w:b w:val="false"/>
          <w:i w:val="false"/>
          <w:color w:val="555555"/>
          <w:sz w:val="18"/>
        </w:rPr>
        <w:t>Problem: Mongla Port's official system creates permanent final bills that cannot be deleted. C&amp;F agents had no way to estimate charges without committing to a final entry.</w:t>
      </w:r>
    </w:p>
    <w:p>
      <w:pPr>
        <w:pStyle w:val="Normal"/>
        <w:spacing w:before="40" w:after="40"/>
        <w:jc w:val="both"/>
        <w:rPr/>
      </w:pPr>
      <w:r>
        <w:rPr>
          <w:b w:val="false"/>
          <w:i w:val="false"/>
          <w:color w:val="1A1A1A"/>
          <w:sz w:val="19"/>
        </w:rPr>
        <w:t>Solution: Real-time advance wharfrent calculator for Car &amp; General Cargo. Slab-based billing, VAT, levy, inside/outside cargo split, hoisting charge auto-calculation, print-ready output. Actively used by C&amp;F agents at Mongla Port.</w:t>
      </w:r>
    </w:p>
    <w:p>
      <w:pPr>
        <w:pStyle w:val="Normal"/>
        <w:spacing w:before="80" w:after="0"/>
        <w:jc w:val="both"/>
        <w:rPr/>
      </w:pPr>
      <w:r>
        <w:rPr/>
      </w:r>
    </w:p>
    <w:p>
      <w:pPr>
        <w:pStyle w:val="Normal"/>
        <w:spacing w:before="160" w:after="60"/>
        <w:jc w:val="both"/>
        <w:rPr/>
      </w:pPr>
      <w:r>
        <w:rPr>
          <w:b/>
          <w:i w:val="false"/>
          <w:color w:val="1A1A1A"/>
          <w:sz w:val="20"/>
        </w:rPr>
        <w:t>Daily Car Balance &amp; Location Tracking System</w:t>
      </w:r>
      <w:r>
        <w:rPr>
          <w:b w:val="false"/>
          <w:i w:val="false"/>
          <w:color w:val="555555"/>
          <w:sz w:val="19"/>
        </w:rPr>
        <w:t xml:space="preserve">   |   </w:t>
      </w:r>
      <w:r>
        <w:rPr>
          <w:b w:val="false"/>
          <w:i w:val="false"/>
          <w:color w:val="1B4F8A"/>
          <w:sz w:val="19"/>
        </w:rPr>
        <w:t>monthly-car-balance.vercel.app</w:t>
      </w:r>
    </w:p>
    <w:p>
      <w:pPr>
        <w:pStyle w:val="Normal"/>
        <w:spacing w:before="40" w:after="40"/>
        <w:jc w:val="both"/>
        <w:rPr/>
      </w:pPr>
      <w:r>
        <w:rPr>
          <w:b w:val="false"/>
          <w:i w:val="false"/>
          <w:color w:val="555555"/>
          <w:sz w:val="18"/>
        </w:rPr>
        <w:t>Problem: Vehicle tracking across warehouse, shed and yard was in personal Excel — only visible to one person.</w:t>
      </w:r>
    </w:p>
    <w:p>
      <w:pPr>
        <w:pStyle w:val="Normal"/>
        <w:spacing w:before="40" w:after="40"/>
        <w:jc w:val="both"/>
        <w:rPr/>
      </w:pPr>
      <w:r>
        <w:rPr>
          <w:b w:val="false"/>
          <w:i w:val="false"/>
          <w:color w:val="1A1A1A"/>
          <w:sz w:val="19"/>
        </w:rPr>
        <w:t>Solution: Live cloud dashboard replacing personal Excel. All staff view real-time vehicle positions across terminal areas. Firebase sync, KPI analytics, monthly comparison reports, Excel export.</w:t>
      </w:r>
    </w:p>
    <w:p>
      <w:pPr>
        <w:pStyle w:val="Normal"/>
        <w:spacing w:before="80" w:after="0"/>
        <w:jc w:val="both"/>
        <w:rPr/>
      </w:pPr>
      <w:r>
        <w:rPr/>
      </w:r>
    </w:p>
    <w:p>
      <w:pPr>
        <w:pStyle w:val="Normal"/>
        <w:spacing w:before="160" w:after="60"/>
        <w:jc w:val="both"/>
        <w:rPr/>
      </w:pPr>
      <w:r>
        <w:rPr>
          <w:b/>
          <w:i w:val="false"/>
          <w:color w:val="1A1A1A"/>
          <w:sz w:val="20"/>
        </w:rPr>
        <w:t>OT Bill Management System</w:t>
      </w:r>
      <w:r>
        <w:rPr>
          <w:b w:val="false"/>
          <w:i w:val="false"/>
          <w:color w:val="555555"/>
          <w:sz w:val="19"/>
        </w:rPr>
        <w:t xml:space="preserve">   |   </w:t>
      </w:r>
      <w:r>
        <w:rPr>
          <w:b w:val="false"/>
          <w:i w:val="false"/>
          <w:color w:val="1B4F8A"/>
          <w:sz w:val="19"/>
        </w:rPr>
        <w:t>otbill.vercel.app</w:t>
      </w:r>
    </w:p>
    <w:p>
      <w:pPr>
        <w:pStyle w:val="Normal"/>
        <w:spacing w:before="40" w:after="40"/>
        <w:jc w:val="both"/>
        <w:rPr/>
      </w:pPr>
      <w:r>
        <w:rPr>
          <w:b w:val="false"/>
          <w:i w:val="false"/>
          <w:color w:val="555555"/>
          <w:sz w:val="18"/>
        </w:rPr>
        <w:t>Problem: Overtime billing was manual Excel — complex, time-consuming and error-prone every billing cycle.</w:t>
      </w:r>
    </w:p>
    <w:p>
      <w:pPr>
        <w:pStyle w:val="Normal"/>
        <w:spacing w:before="40" w:after="40"/>
        <w:jc w:val="both"/>
        <w:rPr/>
      </w:pPr>
      <w:r>
        <w:rPr>
          <w:b w:val="false"/>
          <w:i w:val="false"/>
          <w:color w:val="1A1A1A"/>
          <w:sz w:val="19"/>
        </w:rPr>
        <w:t>Solution: Any staff member adds profile once and generates final OT bill instantly. Employee database, auto hourly rate calculation, date-wise OT entry, A4 print output.</w:t>
      </w:r>
    </w:p>
    <w:p>
      <w:pPr>
        <w:pStyle w:val="Normal"/>
        <w:spacing w:before="80" w:after="0"/>
        <w:jc w:val="both"/>
        <w:rPr/>
      </w:pPr>
      <w:r>
        <w:rPr/>
      </w:r>
    </w:p>
    <w:p>
      <w:pPr>
        <w:pStyle w:val="Normal"/>
        <w:spacing w:before="160" w:after="60"/>
        <w:jc w:val="both"/>
        <w:rPr/>
      </w:pPr>
      <w:r>
        <w:rPr>
          <w:b/>
          <w:i w:val="false"/>
          <w:color w:val="1A1A1A"/>
          <w:sz w:val="20"/>
        </w:rPr>
        <w:t>Linux/DevOps Command Reference</w:t>
      </w:r>
      <w:r>
        <w:rPr>
          <w:b w:val="false"/>
          <w:i w:val="false"/>
          <w:color w:val="555555"/>
          <w:sz w:val="19"/>
        </w:rPr>
        <w:t xml:space="preserve">   |   </w:t>
      </w:r>
      <w:r>
        <w:rPr>
          <w:b w:val="false"/>
          <w:i w:val="false"/>
          <w:color w:val="1B4F8A"/>
          <w:sz w:val="19"/>
        </w:rPr>
        <w:t>devops-command-summary.vercel.app</w:t>
      </w:r>
    </w:p>
    <w:p>
      <w:pPr>
        <w:pStyle w:val="Normal"/>
        <w:spacing w:before="40" w:after="40"/>
        <w:jc w:val="both"/>
        <w:rPr/>
      </w:pPr>
      <w:r>
        <w:rPr>
          <w:b w:val="false"/>
          <w:i w:val="false"/>
          <w:color w:val="1A1A1A"/>
          <w:sz w:val="19"/>
        </w:rPr>
        <w:t>1,311 command blocks, 84 sections — Linux, Docker, Kubernetes, Terraform, AWS, Azure, Security. Built during RHCSA preparation as personal study reference.</w:t>
      </w:r>
    </w:p>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TECHNICAL DEVELOPMENT</w:t>
      </w:r>
    </w:p>
    <w:p>
      <w:pPr>
        <w:pStyle w:val="Normal"/>
        <w:tabs>
          <w:tab w:val="clear" w:pos="720"/>
          <w:tab w:val="right" w:pos="9354" w:leader="none"/>
        </w:tabs>
        <w:spacing w:before="240" w:after="60"/>
        <w:jc w:val="both"/>
        <w:rPr/>
      </w:pPr>
      <w:r>
        <w:rPr>
          <w:b/>
          <w:i w:val="false"/>
          <w:color w:val="1A1A1A"/>
          <w:sz w:val="20"/>
        </w:rPr>
        <w:t>Linux Administration — RHCSA EX200 Preparation</w:t>
      </w:r>
      <w:r>
        <w:rPr>
          <w:b w:val="false"/>
          <w:i w:val="false"/>
          <w:color w:val="555555"/>
          <w:sz w:val="19"/>
        </w:rPr>
        <w:t xml:space="preserve">   |   </w:t>
      </w:r>
      <w:r>
        <w:rPr>
          <w:b/>
          <w:i w:val="false"/>
          <w:color w:val="1B4F8A"/>
          <w:sz w:val="19"/>
        </w:rPr>
        <w:t>Self-Directed</w:t>
      </w:r>
      <w:r>
        <w:rPr>
          <w:b w:val="false"/>
          <w:i w:val="false"/>
          <w:sz w:val="19"/>
        </w:rPr>
        <w:tab/>
      </w:r>
      <w:r>
        <w:rPr>
          <w:b w:val="false"/>
          <w:i/>
          <w:color w:val="555555"/>
          <w:sz w:val="19"/>
        </w:rPr>
        <w:t>Jan 2025 – Present</w:t>
      </w:r>
    </w:p>
    <w:p>
      <w:pPr>
        <w:pStyle w:val="Normal"/>
        <w:spacing w:before="40" w:after="0"/>
        <w:jc w:val="both"/>
        <w:rPr/>
      </w:pPr>
      <w:r>
        <w:rPr/>
      </w:r>
    </w:p>
    <w:p>
      <w:pPr>
        <w:pStyle w:val="Normal"/>
        <w:spacing w:before="40" w:after="40"/>
        <w:ind w:hanging="198" w:start="283"/>
        <w:jc w:val="both"/>
        <w:rPr/>
      </w:pPr>
      <w:r>
        <w:rPr>
          <w:b w:val="false"/>
          <w:i w:val="false"/>
          <w:color w:val="1B4F8A"/>
          <w:sz w:val="19"/>
        </w:rPr>
        <w:t xml:space="preserve">‣  </w:t>
      </w:r>
      <w:r>
        <w:rPr>
          <w:b w:val="false"/>
          <w:i w:val="false"/>
          <w:color w:val="1A1A1A"/>
          <w:sz w:val="19"/>
        </w:rPr>
        <w:t>RHCSA EX200 — RHEL 9 structured 60-day program (exam scheduled 2026)</w:t>
      </w:r>
    </w:p>
    <w:p>
      <w:pPr>
        <w:pStyle w:val="Normal"/>
        <w:spacing w:before="40" w:after="40"/>
        <w:ind w:hanging="198" w:start="283"/>
        <w:jc w:val="both"/>
        <w:rPr/>
      </w:pPr>
      <w:r>
        <w:rPr>
          <w:b w:val="false"/>
          <w:i w:val="false"/>
          <w:color w:val="1B4F8A"/>
          <w:sz w:val="19"/>
        </w:rPr>
        <w:t xml:space="preserve">‣  </w:t>
      </w:r>
      <w:r>
        <w:rPr>
          <w:b w:val="false"/>
          <w:i w:val="false"/>
          <w:color w:val="1A1A1A"/>
          <w:sz w:val="19"/>
        </w:rPr>
        <w:t>Topics: systemd, SELinux, firewalld, LVM, NFS, SSH hardening, ACLs, Podman, Bash scripting</w:t>
      </w:r>
    </w:p>
    <w:p>
      <w:pPr>
        <w:pStyle w:val="Normal"/>
        <w:spacing w:before="40" w:after="40"/>
        <w:ind w:hanging="198" w:start="283"/>
        <w:jc w:val="both"/>
        <w:rPr/>
      </w:pPr>
      <w:r>
        <w:rPr>
          <w:b w:val="false"/>
          <w:i w:val="false"/>
          <w:color w:val="1B4F8A"/>
          <w:sz w:val="19"/>
        </w:rPr>
        <w:t xml:space="preserve">‣  </w:t>
      </w:r>
      <w:r>
        <w:rPr>
          <w:b w:val="false"/>
          <w:i w:val="false"/>
          <w:color w:val="1A1A1A"/>
          <w:sz w:val="19"/>
        </w:rPr>
        <w:t>Completed: user/group management, file permissions, process management, basic storage and networking</w:t>
      </w:r>
    </w:p>
    <w:p>
      <w:pPr>
        <w:pStyle w:val="Normal"/>
        <w:ind w:hanging="504" w:start="720"/>
        <w:jc w:val="both"/>
        <w:rPr/>
      </w:pPr>
      <w:r>
        <w:rPr>
          <w:color w:val="1B4F8A"/>
          <w:sz w:val="19"/>
        </w:rPr>
        <w:t xml:space="preserve">‣  </w:t>
      </w:r>
      <w:r>
        <w:rPr>
          <w:color w:val="1A1A1A"/>
          <w:sz w:val="19"/>
        </w:rPr>
        <w:t>AI-assisted development — Claude (prompt engineering), problem definition, requirement specification, testing and production deployment on Vercel</w:t>
      </w:r>
    </w:p>
    <w:p>
      <w:pPr>
        <w:pStyle w:val="Normal"/>
        <w:spacing w:before="100" w:after="0"/>
        <w:jc w:val="both"/>
        <w:rPr/>
      </w:pPr>
      <w:r>
        <w:rPr/>
      </w:r>
    </w:p>
    <w:p>
      <w:pPr>
        <w:pStyle w:val="Normal"/>
        <w:tabs>
          <w:tab w:val="clear" w:pos="720"/>
          <w:tab w:val="right" w:pos="9354" w:leader="none"/>
        </w:tabs>
        <w:spacing w:before="240" w:after="60"/>
        <w:jc w:val="both"/>
        <w:rPr/>
      </w:pPr>
      <w:r>
        <w:rPr>
          <w:b/>
          <w:i w:val="false"/>
          <w:color w:val="1A1A1A"/>
          <w:sz w:val="20"/>
        </w:rPr>
        <w:t>Arabic Language — Saudi Workplace Readiness</w:t>
      </w:r>
      <w:r>
        <w:rPr>
          <w:b w:val="false"/>
          <w:i w:val="false"/>
          <w:color w:val="555555"/>
          <w:sz w:val="19"/>
        </w:rPr>
        <w:t xml:space="preserve">   |   </w:t>
      </w:r>
      <w:r>
        <w:rPr>
          <w:b/>
          <w:i w:val="false"/>
          <w:color w:val="1B4F8A"/>
          <w:sz w:val="19"/>
        </w:rPr>
        <w:t>Self-Directed</w:t>
      </w:r>
      <w:r>
        <w:rPr>
          <w:b w:val="false"/>
          <w:i w:val="false"/>
          <w:sz w:val="19"/>
        </w:rPr>
        <w:tab/>
      </w:r>
      <w:r>
        <w:rPr>
          <w:b w:val="false"/>
          <w:i/>
          <w:color w:val="555555"/>
          <w:sz w:val="19"/>
        </w:rPr>
        <w:t>2025 – Present</w:t>
      </w:r>
    </w:p>
    <w:p>
      <w:pPr>
        <w:pStyle w:val="Normal"/>
        <w:spacing w:before="40" w:after="0"/>
        <w:jc w:val="both"/>
        <w:rPr/>
      </w:pPr>
      <w:r>
        <w:rPr/>
      </w:r>
    </w:p>
    <w:p>
      <w:pPr>
        <w:pStyle w:val="Normal"/>
        <w:spacing w:before="40" w:after="40"/>
        <w:ind w:hanging="198" w:start="283"/>
        <w:jc w:val="both"/>
        <w:rPr/>
      </w:pPr>
      <w:r>
        <w:rPr>
          <w:b w:val="false"/>
          <w:i w:val="false"/>
          <w:color w:val="1B4F8A"/>
          <w:sz w:val="19"/>
        </w:rPr>
        <w:t xml:space="preserve">‣  </w:t>
      </w:r>
      <w:r>
        <w:rPr>
          <w:b w:val="false"/>
          <w:i w:val="false"/>
          <w:color w:val="1A1A1A"/>
          <w:sz w:val="19"/>
        </w:rPr>
        <w:t>MSA and Saudi spoken Arabic — maritime and port operations terminology focus</w:t>
      </w:r>
    </w:p>
    <w:p>
      <w:pPr>
        <w:pStyle w:val="Normal"/>
        <w:spacing w:before="40" w:after="40"/>
        <w:ind w:hanging="198" w:start="283"/>
        <w:jc w:val="both"/>
        <w:rPr/>
      </w:pPr>
      <w:r>
        <w:rPr>
          <w:b w:val="false"/>
          <w:i w:val="false"/>
          <w:color w:val="1B4F8A"/>
          <w:sz w:val="19"/>
        </w:rPr>
        <w:t xml:space="preserve">‣  </w:t>
      </w:r>
      <w:r>
        <w:rPr>
          <w:b w:val="false"/>
          <w:i w:val="false"/>
          <w:color w:val="1A1A1A"/>
          <w:sz w:val="19"/>
        </w:rPr>
        <w:t>Goal: conversational level for Saudi port workplace communication</w:t>
      </w:r>
    </w:p>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EDUCATION</w:t>
      </w:r>
    </w:p>
    <w:p>
      <w:pPr>
        <w:pStyle w:val="Normal"/>
        <w:tabs>
          <w:tab w:val="clear" w:pos="720"/>
          <w:tab w:val="right" w:pos="9354" w:leader="none"/>
        </w:tabs>
        <w:spacing w:before="240" w:after="60"/>
        <w:jc w:val="both"/>
        <w:rPr/>
      </w:pPr>
      <w:r>
        <w:rPr>
          <w:b/>
          <w:i w:val="false"/>
          <w:color w:val="1A1A1A"/>
          <w:sz w:val="20"/>
        </w:rPr>
        <w:t>Higher Secondary Certificate — Business Studies</w:t>
      </w:r>
      <w:r>
        <w:rPr>
          <w:b w:val="false"/>
          <w:i w:val="false"/>
          <w:color w:val="555555"/>
          <w:sz w:val="19"/>
        </w:rPr>
        <w:t xml:space="preserve">   |   </w:t>
      </w:r>
      <w:r>
        <w:rPr>
          <w:b/>
          <w:i w:val="false"/>
          <w:color w:val="1B4F8A"/>
          <w:sz w:val="19"/>
        </w:rPr>
        <w:t>Khulna Public College</w:t>
      </w:r>
      <w:r>
        <w:rPr>
          <w:b w:val="false"/>
          <w:i w:val="false"/>
          <w:sz w:val="19"/>
        </w:rPr>
        <w:tab/>
      </w:r>
      <w:r>
        <w:rPr>
          <w:b w:val="false"/>
          <w:i/>
          <w:color w:val="555555"/>
          <w:sz w:val="19"/>
        </w:rPr>
        <w:t>2009 – 2011</w:t>
      </w:r>
    </w:p>
    <w:p>
      <w:pPr>
        <w:pStyle w:val="Normal"/>
        <w:spacing w:before="60" w:after="0"/>
        <w:jc w:val="both"/>
        <w:rPr/>
      </w:pPr>
      <w:r>
        <w:rPr/>
      </w:r>
    </w:p>
    <w:p>
      <w:pPr>
        <w:pStyle w:val="Normal"/>
        <w:tabs>
          <w:tab w:val="clear" w:pos="720"/>
          <w:tab w:val="right" w:pos="9354" w:leader="none"/>
        </w:tabs>
        <w:spacing w:before="240" w:after="60"/>
        <w:jc w:val="both"/>
        <w:rPr/>
      </w:pPr>
      <w:r>
        <w:rPr>
          <w:b/>
          <w:i w:val="false"/>
          <w:color w:val="1A1A1A"/>
          <w:sz w:val="20"/>
        </w:rPr>
        <w:t>Secondary School Certificate — Business Studies</w:t>
      </w:r>
      <w:r>
        <w:rPr>
          <w:b w:val="false"/>
          <w:i w:val="false"/>
          <w:color w:val="555555"/>
          <w:sz w:val="19"/>
        </w:rPr>
        <w:t xml:space="preserve">   |   </w:t>
      </w:r>
      <w:r>
        <w:rPr>
          <w:b/>
          <w:i w:val="false"/>
          <w:color w:val="1B4F8A"/>
          <w:sz w:val="19"/>
        </w:rPr>
        <w:t>Mongla Bandar Secondary School</w:t>
      </w:r>
      <w:r>
        <w:rPr>
          <w:b w:val="false"/>
          <w:i w:val="false"/>
          <w:sz w:val="19"/>
        </w:rPr>
        <w:tab/>
      </w:r>
      <w:r>
        <w:rPr>
          <w:b w:val="false"/>
          <w:i/>
          <w:color w:val="555555"/>
          <w:sz w:val="19"/>
        </w:rPr>
        <w:t>1999 – 2009</w:t>
      </w:r>
    </w:p>
    <w:p>
      <w:pPr>
        <w:pStyle w:val="Normal"/>
        <w:spacing w:before="160" w:after="0"/>
        <w:jc w:val="both"/>
        <w:rPr/>
      </w:pPr>
      <w:r>
        <w:rPr/>
      </w:r>
    </w:p>
    <w:p>
      <w:pPr>
        <w:pStyle w:val="Normal"/>
        <w:pBdr>
          <w:bottom w:val="single" w:sz="8" w:space="4" w:color="1B4F8A"/>
        </w:pBdr>
        <w:spacing w:before="280" w:after="100"/>
        <w:jc w:val="both"/>
        <w:rPr/>
      </w:pPr>
      <w:r>
        <w:rPr>
          <w:b/>
          <w:i w:val="false"/>
          <w:color w:val="1B4F8A"/>
          <w:sz w:val="22"/>
        </w:rPr>
        <w:t>LANGUAGES</w:t>
      </w:r>
    </w:p>
    <w:p>
      <w:pPr>
        <w:pStyle w:val="Normal"/>
        <w:spacing w:before="80" w:after="0"/>
        <w:jc w:val="both"/>
        <w:rPr/>
      </w:pPr>
      <w:r>
        <w:rPr/>
      </w:r>
    </w:p>
    <w:tbl>
      <w:tblPr>
        <w:tblStyle w:val="TableGrid"/>
        <w:tblW w:w="9972" w:type="dxa"/>
        <w:jc w:val="start"/>
        <w:tblInd w:w="0" w:type="dxa"/>
        <w:tblLayout w:type="fixed"/>
        <w:tblCellMar>
          <w:top w:w="60" w:type="dxa"/>
          <w:start w:w="0" w:type="dxa"/>
          <w:bottom w:w="60" w:type="dxa"/>
          <w:end w:w="80" w:type="dxa"/>
        </w:tblCellMar>
        <w:tblLook w:val="04a0" w:noHBand="0" w:noVBand="1" w:firstColumn="1" w:lastRow="0" w:lastColumn="0" w:firstRow="1"/>
      </w:tblPr>
      <w:tblGrid>
        <w:gridCol w:w="3324"/>
        <w:gridCol w:w="3324"/>
        <w:gridCol w:w="3324"/>
      </w:tblGrid>
      <w:tr>
        <w:trPr/>
        <w:tc>
          <w:tcPr>
            <w:tcW w:w="3324" w:type="dxa"/>
            <w:tcBorders>
              <w:top w:val="nil"/>
              <w:start w:val="nil"/>
              <w:bottom w:val="nil"/>
              <w:end w:val="nil"/>
            </w:tcBorders>
          </w:tcPr>
          <w:p>
            <w:pPr>
              <w:pStyle w:val="Normal"/>
              <w:widowControl/>
              <w:spacing w:lineRule="auto" w:line="240"/>
              <w:jc w:val="both"/>
              <w:rPr>
                <w:rFonts w:eastAsia="ＭＳ 明朝" w:cs=""/>
                <w:kern w:val="0"/>
                <w:szCs w:val="22"/>
                <w:lang w:val="en-US" w:eastAsia="en-US" w:bidi="ar-SA"/>
              </w:rPr>
            </w:pPr>
            <w:r>
              <w:rPr>
                <w:rFonts w:eastAsia="ＭＳ 明朝" w:cs=""/>
                <w:b w:val="false"/>
                <w:i w:val="false"/>
                <w:color w:val="1A1A1A"/>
                <w:kern w:val="0"/>
                <w:sz w:val="19"/>
                <w:szCs w:val="22"/>
                <w:lang w:val="en-US" w:eastAsia="en-US" w:bidi="ar-SA"/>
              </w:rPr>
              <w:t>Bengali — Native</w:t>
            </w:r>
          </w:p>
        </w:tc>
        <w:tc>
          <w:tcPr>
            <w:tcW w:w="3324" w:type="dxa"/>
            <w:tcBorders>
              <w:top w:val="nil"/>
              <w:start w:val="nil"/>
              <w:bottom w:val="nil"/>
              <w:end w:val="nil"/>
            </w:tcBorders>
            <w:tcMar>
              <w:start w:w="80" w:type="dxa"/>
            </w:tcMar>
          </w:tcPr>
          <w:p>
            <w:pPr>
              <w:pStyle w:val="Normal"/>
              <w:widowControl/>
              <w:spacing w:lineRule="auto" w:line="240"/>
              <w:jc w:val="both"/>
              <w:rPr>
                <w:rFonts w:eastAsia="ＭＳ 明朝" w:cs=""/>
                <w:kern w:val="0"/>
                <w:szCs w:val="22"/>
                <w:lang w:val="en-US" w:eastAsia="en-US" w:bidi="ar-SA"/>
              </w:rPr>
            </w:pPr>
            <w:r>
              <w:rPr>
                <w:rFonts w:eastAsia="ＭＳ 明朝" w:cs=""/>
                <w:b w:val="false"/>
                <w:i w:val="false"/>
                <w:color w:val="1A1A1A"/>
                <w:kern w:val="0"/>
                <w:sz w:val="19"/>
                <w:szCs w:val="22"/>
                <w:lang w:val="en-US" w:eastAsia="en-US" w:bidi="ar-SA"/>
              </w:rPr>
              <w:t>English — Professional Working</w:t>
            </w:r>
          </w:p>
        </w:tc>
        <w:tc>
          <w:tcPr>
            <w:tcW w:w="3324" w:type="dxa"/>
            <w:tcBorders>
              <w:top w:val="nil"/>
              <w:start w:val="nil"/>
              <w:bottom w:val="nil"/>
              <w:end w:val="nil"/>
            </w:tcBorders>
            <w:tcMar>
              <w:start w:w="80" w:type="dxa"/>
            </w:tcMar>
          </w:tcPr>
          <w:p>
            <w:pPr>
              <w:pStyle w:val="Normal"/>
              <w:widowControl/>
              <w:spacing w:lineRule="auto" w:line="240"/>
              <w:jc w:val="both"/>
              <w:rPr>
                <w:rFonts w:eastAsia="ＭＳ 明朝" w:cs=""/>
                <w:kern w:val="0"/>
                <w:szCs w:val="22"/>
                <w:lang w:val="en-US" w:eastAsia="en-US" w:bidi="ar-SA"/>
              </w:rPr>
            </w:pPr>
            <w:r>
              <w:rPr>
                <w:rFonts w:eastAsia="ＭＳ 明朝" w:cs=""/>
                <w:b w:val="false"/>
                <w:i w:val="false"/>
                <w:color w:val="1A1A1A"/>
                <w:kern w:val="0"/>
                <w:sz w:val="19"/>
                <w:szCs w:val="22"/>
                <w:lang w:val="en-US" w:eastAsia="en-US" w:bidi="ar-SA"/>
              </w:rPr>
              <w:t>Arabic — Elementary (Learning)</w:t>
            </w:r>
          </w:p>
        </w:tc>
      </w:tr>
    </w:tbl>
    <w:p>
      <w:pPr>
        <w:pStyle w:val="Normal"/>
        <w:spacing w:before="160" w:after="0"/>
        <w:jc w:val="both"/>
        <w:rPr/>
      </w:pPr>
      <w:r>
        <w:rPr/>
      </w:r>
    </w:p>
    <w:p>
      <w:pPr>
        <w:pStyle w:val="Normal"/>
        <w:pBdr>
          <w:top w:val="single" w:sz="4" w:space="6" w:color="1B4F8A"/>
        </w:pBdr>
        <w:spacing w:before="160" w:after="0"/>
        <w:jc w:val="both"/>
        <w:rPr/>
      </w:pPr>
      <w:r>
        <w:rPr>
          <w:b/>
          <w:i w:val="false"/>
          <w:color w:val="1B4F8A"/>
          <w:sz w:val="18"/>
        </w:rPr>
        <w:t>Available for immediate relocation to Saudi Arabia  |  Target: Q2 2027</w:t>
      </w:r>
    </w:p>
    <w:sectPr>
      <w:type w:val="nextPage"/>
      <w:pgSz w:w="12240" w:h="15840"/>
      <w:pgMar w:left="1134" w:right="1134"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ages>3</Pages>
  <Words>803</Words>
  <Characters>5263</Characters>
  <CharactersWithSpaces>6085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2026-05-13T20:55:08Z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