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LANDGUARD AI</w:t>
      </w:r>
    </w:p>
    <w:p>
      <w:pPr>
        <w:pStyle w:val="Subtitle"/>
      </w:pPr>
      <w:r>
        <w:t>Software Requirements Specification &amp; Antigravity Implementation Blueprint</w:t>
      </w:r>
    </w:p>
    <w:p>
      <w:r>
        <w:t>Version 1.0  |  15 October 2026  |  Hackathon demonstration  |  SYNTHETIC DATA ONLY</w:t>
      </w:r>
    </w:p>
    <w:p>
      <w:r>
        <w:t>Product vision: A trustworthy, evidence-first land transaction screening workspace that highlights possible conflicting sales without claiming to prove fraud or legal ownership.</w:t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Field</w:t>
            </w:r>
          </w:p>
        </w:tc>
        <w:tc>
          <w:tcPr>
            <w:tcW w:type="dxa" w:w="4896"/>
            <w:vAlign w:val="center"/>
          </w:tcPr>
          <w:p>
            <w:r>
              <w:t>Specification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System</w:t>
            </w:r>
          </w:p>
        </w:tc>
        <w:tc>
          <w:tcPr>
            <w:tcW w:type="dxa" w:w="4896"/>
            <w:vAlign w:val="center"/>
          </w:tcPr>
          <w:p>
            <w:r>
              <w:t>LandGuard AI</w:t>
            </w:r>
          </w:p>
        </w:tc>
      </w:tr>
      <w:tr>
        <w:tc>
          <w:tcPr>
            <w:tcW w:type="dxa" w:w="4896"/>
            <w:vAlign w:val="center"/>
          </w:tcPr>
          <w:p>
            <w:r>
              <w:t>Audience</w:t>
            </w:r>
          </w:p>
        </w:tc>
        <w:tc>
          <w:tcPr>
            <w:tcW w:type="dxa" w:w="4896"/>
            <w:vAlign w:val="center"/>
          </w:tcPr>
          <w:p>
            <w:r>
              <w:t>Hackathon judges, demonstration reviewers, authorized operators</w:t>
            </w:r>
          </w:p>
        </w:tc>
      </w:tr>
      <w:tr>
        <w:tc>
          <w:tcPr>
            <w:tcW w:type="dxa" w:w="4896"/>
            <w:vAlign w:val="center"/>
          </w:tcPr>
          <w:p>
            <w:r>
              <w:t>Baseline</w:t>
            </w:r>
          </w:p>
        </w:tc>
        <w:tc>
          <w:tcPr>
            <w:tcW w:type="dxa" w:w="4896"/>
            <w:vAlign w:val="center"/>
          </w:tcPr>
          <w:p>
            <w:r>
              <w:t>Existing Colab-trained models and tested FastAPI backend</w:t>
            </w:r>
          </w:p>
        </w:tc>
      </w:tr>
      <w:tr>
        <w:tc>
          <w:tcPr>
            <w:tcW w:type="dxa" w:w="4896"/>
            <w:vAlign w:val="center"/>
          </w:tcPr>
          <w:p>
            <w:r>
              <w:t>Status</w:t>
            </w:r>
          </w:p>
        </w:tc>
        <w:tc>
          <w:tcPr>
            <w:tcW w:type="dxa" w:w="4896"/>
            <w:vAlign w:val="center"/>
          </w:tcPr>
          <w:p>
            <w:r>
              <w:t>Requirements and design specification; not an implementation-complete certificate</w:t>
            </w:r>
          </w:p>
        </w:tc>
      </w:tr>
      <w:tr>
        <w:tc>
          <w:tcPr>
            <w:tcW w:type="dxa" w:w="4896"/>
            <w:vAlign w:val="center"/>
          </w:tcPr>
          <w:p>
            <w:r>
              <w:t>Deployment</w:t>
            </w:r>
          </w:p>
        </w:tc>
        <w:tc>
          <w:tcPr>
            <w:tcW w:type="dxa" w:w="4896"/>
            <w:vAlign w:val="center"/>
          </w:tcPr>
          <w:p>
            <w:r>
              <w:t>Vercel: React/Vite frontend; Render/Railway: FastAPI + ML backend</w:t>
            </w:r>
          </w:p>
        </w:tc>
      </w:tr>
    </w:tbl>
    <w:p/>
    <w:p>
      <w:pPr>
        <w:pStyle w:val="Heading1"/>
      </w:pPr>
      <w:r>
        <w:t>1. Scope, goals and non-goals</w:t>
      </w:r>
    </w:p>
    <w:p>
      <w:r>
        <w:t>The application screens synthetic parcel transactions, explains data inconsistencies, visualizes transaction history, and supports human review. The design must emphasize evidence, traceability, and uncertainty over dramatic fraud scores.</w:t>
      </w:r>
    </w:p>
    <w:p>
      <w:pPr>
        <w:pStyle w:val="ListBullet"/>
      </w:pPr>
      <w:r>
        <w:t>In scope: interactive landing experience, dashboard, transaction explorer, parcel details, AI assessment, evidence explanations, conflict timeline, review workspace, downloadable reports, preferences, and documented API integration.</w:t>
      </w:r>
    </w:p>
    <w:p>
      <w:pPr>
        <w:pStyle w:val="ListBullet"/>
      </w:pPr>
      <w:r>
        <w:t>Out of scope for this prototype: official land registry connectivity, NID verification, automated legal determinations, live government scraping, real property ownership certification, and training on real citizens’ records.</w:t>
      </w:r>
    </w:p>
    <w:p>
      <w:pPr>
        <w:pStyle w:val="ListBullet"/>
      </w:pPr>
      <w:r>
        <w:t>Every screen displaying a result must include an accessible “Synthetic demo — screening signal, not proof of fraud” notice.</w:t>
      </w:r>
    </w:p>
    <w:p>
      <w:pPr>
        <w:pStyle w:val="Heading1"/>
      </w:pPr>
      <w:r>
        <w:t>2. Existing verified technical baseline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Asset</w:t>
            </w:r>
          </w:p>
        </w:tc>
        <w:tc>
          <w:tcPr>
            <w:tcW w:type="dxa" w:w="4896"/>
            <w:vAlign w:val="center"/>
          </w:tcPr>
          <w:p>
            <w:r>
              <w:t>Verified baseline</w:t>
            </w:r>
          </w:p>
        </w:tc>
      </w:tr>
      <w:tr>
        <w:tc>
          <w:tcPr>
            <w:tcW w:type="dxa" w:w="4896"/>
            <w:vAlign w:val="center"/>
          </w:tcPr>
          <w:p>
            <w:r>
              <w:t>parcels.csv</w:t>
            </w:r>
          </w:p>
        </w:tc>
        <w:tc>
          <w:tcPr>
            <w:tcW w:type="dxa" w:w="4896"/>
            <w:vAlign w:val="center"/>
          </w:tcPr>
          <w:p>
            <w:r>
              <w:t>3,000 synthetic parcels</w:t>
            </w:r>
          </w:p>
        </w:tc>
      </w:tr>
      <w:tr>
        <w:tc>
          <w:tcPr>
            <w:tcW w:type="dxa" w:w="4896"/>
            <w:vAlign w:val="center"/>
          </w:tcPr>
          <w:p>
            <w:r>
              <w:t>ownership.csv</w:t>
            </w:r>
          </w:p>
        </w:tc>
        <w:tc>
          <w:tcPr>
            <w:tcW w:type="dxa" w:w="4896"/>
            <w:vAlign w:val="center"/>
          </w:tcPr>
          <w:p>
            <w:r>
              <w:t>3,000 synthetic ownership rows</w:t>
            </w:r>
          </w:p>
        </w:tc>
      </w:tr>
      <w:tr>
        <w:tc>
          <w:tcPr>
            <w:tcW w:type="dxa" w:w="4896"/>
            <w:vAlign w:val="center"/>
          </w:tcPr>
          <w:p>
            <w:r>
              <w:t>transactions.csv</w:t>
            </w:r>
          </w:p>
        </w:tc>
        <w:tc>
          <w:tcPr>
            <w:tcW w:type="dxa" w:w="4896"/>
            <w:vAlign w:val="center"/>
          </w:tcPr>
          <w:p>
            <w:r>
              <w:t>3,851 synthetic transactions</w:t>
            </w:r>
          </w:p>
        </w:tc>
      </w:tr>
      <w:tr>
        <w:tc>
          <w:tcPr>
            <w:tcW w:type="dxa" w:w="4896"/>
            <w:vAlign w:val="center"/>
          </w:tcPr>
          <w:p>
            <w:r>
              <w:t>mutations.csv</w:t>
            </w:r>
          </w:p>
        </w:tc>
        <w:tc>
          <w:tcPr>
            <w:tcW w:type="dxa" w:w="4896"/>
            <w:vAlign w:val="center"/>
          </w:tcPr>
          <w:p>
            <w:r>
              <w:t>3,851 synthetic mutation rows</w:t>
            </w:r>
          </w:p>
        </w:tc>
      </w:tr>
      <w:tr>
        <w:tc>
          <w:tcPr>
            <w:tcW w:type="dxa" w:w="4896"/>
            <w:vAlign w:val="center"/>
          </w:tcPr>
          <w:p>
            <w:r>
              <w:t>review_cases.csv</w:t>
            </w:r>
          </w:p>
        </w:tc>
        <w:tc>
          <w:tcPr>
            <w:tcW w:type="dxa" w:w="4896"/>
            <w:vAlign w:val="center"/>
          </w:tcPr>
          <w:p>
            <w:r>
              <w:t>1,188 synthetic review cases</w:t>
            </w:r>
          </w:p>
        </w:tc>
      </w:tr>
      <w:tr>
        <w:tc>
          <w:tcPr>
            <w:tcW w:type="dxa" w:w="4896"/>
            <w:vAlign w:val="center"/>
          </w:tcPr>
          <w:p>
            <w:r>
              <w:t>Random Forest</w:t>
            </w:r>
          </w:p>
        </w:tc>
        <w:tc>
          <w:tcPr>
            <w:tcW w:type="dxa" w:w="4896"/>
            <w:vAlign w:val="center"/>
          </w:tcPr>
          <w:p>
            <w:r>
              <w:t>landguard_rf_baseline_v1.joblib; 3-class assessment</w:t>
            </w:r>
          </w:p>
        </w:tc>
      </w:tr>
      <w:tr>
        <w:tc>
          <w:tcPr>
            <w:tcW w:type="dxa" w:w="4896"/>
            <w:vAlign w:val="center"/>
          </w:tcPr>
          <w:p>
            <w:r>
              <w:t>Isolation Forest</w:t>
            </w:r>
          </w:p>
        </w:tc>
        <w:tc>
          <w:tcPr>
            <w:tcW w:type="dxa" w:w="4896"/>
            <w:vAlign w:val="center"/>
          </w:tcPr>
          <w:p>
            <w:r>
              <w:t>landguard_isolation_forest_v1.joblib; supplementary anomaly signal</w:t>
            </w:r>
          </w:p>
        </w:tc>
      </w:tr>
      <w:tr>
        <w:tc>
          <w:tcPr>
            <w:tcW w:type="dxa" w:w="4896"/>
            <w:vAlign w:val="center"/>
          </w:tcPr>
          <w:p>
            <w:r>
              <w:t>Backend</w:t>
            </w:r>
          </w:p>
        </w:tc>
        <w:tc>
          <w:tcPr>
            <w:tcW w:type="dxa" w:w="4896"/>
            <w:vAlign w:val="center"/>
          </w:tcPr>
          <w:p>
            <w:r>
              <w:t>backend/app/main.py; FastAPI tests passed in Colab</w:t>
            </w:r>
          </w:p>
        </w:tc>
      </w:tr>
      <w:tr>
        <w:tc>
          <w:tcPr>
            <w:tcW w:type="dxa" w:w="4896"/>
            <w:vAlign w:val="center"/>
          </w:tcPr>
          <w:p>
            <w:r>
              <w:t>API endpoints</w:t>
            </w:r>
          </w:p>
        </w:tc>
        <w:tc>
          <w:tcPr>
            <w:tcW w:type="dxa" w:w="4896"/>
            <w:vAlign w:val="center"/>
          </w:tcPr>
          <w:p>
            <w:r>
              <w:t>/health; /dashboard/summary; /transactions; /transactions/{id}; /parcels/{id}/history; /assess/{id}</w:t>
            </w:r>
          </w:p>
        </w:tc>
      </w:tr>
    </w:tbl>
    <w:p/>
    <w:p>
      <w:r>
        <w:t>Existing test results: 8 endpoint checks returned HTTP 200; unknown transaction returned 404; invalid pagination returned 422. This is a smoke-test baseline, not production readiness. Random Forest was evaluated against labels derived from synthetic indicators; perfect scores do not establish independent real-world fraud-detection performance.</w:t>
      </w:r>
    </w:p>
    <w:p>
      <w:pPr>
        <w:pStyle w:val="Heading1"/>
      </w:pPr>
      <w:r>
        <w:t>3. Users, roles and permissions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Role</w:t>
            </w:r>
          </w:p>
        </w:tc>
        <w:tc>
          <w:tcPr>
            <w:tcW w:type="dxa" w:w="3264"/>
            <w:vAlign w:val="center"/>
          </w:tcPr>
          <w:p>
            <w:r>
              <w:t>Capability</w:t>
            </w:r>
          </w:p>
        </w:tc>
        <w:tc>
          <w:tcPr>
            <w:tcW w:type="dxa" w:w="3264"/>
            <w:vAlign w:val="center"/>
          </w:tcPr>
          <w:p>
            <w:r>
              <w:t>Status</w:t>
            </w:r>
          </w:p>
        </w:tc>
      </w:tr>
      <w:tr>
        <w:tc>
          <w:tcPr>
            <w:tcW w:type="dxa" w:w="3264"/>
            <w:vAlign w:val="center"/>
          </w:tcPr>
          <w:p>
            <w:r>
              <w:t>Visitor</w:t>
            </w:r>
          </w:p>
        </w:tc>
        <w:tc>
          <w:tcPr>
            <w:tcW w:type="dxa" w:w="3264"/>
            <w:vAlign w:val="center"/>
          </w:tcPr>
          <w:p>
            <w:r>
              <w:t>View public landing page and synthetic demonstration</w:t>
            </w:r>
          </w:p>
        </w:tc>
        <w:tc>
          <w:tcPr>
            <w:tcW w:type="dxa" w:w="3264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3264"/>
            <w:vAlign w:val="center"/>
          </w:tcPr>
          <w:p>
            <w:r>
              <w:t>Reviewer</w:t>
            </w:r>
          </w:p>
        </w:tc>
        <w:tc>
          <w:tcPr>
            <w:tcW w:type="dxa" w:w="3264"/>
            <w:vAlign w:val="center"/>
          </w:tcPr>
          <w:p>
            <w:r>
              <w:t>Search, inspect evidence, annotate and resolve cases</w:t>
            </w:r>
          </w:p>
        </w:tc>
        <w:tc>
          <w:tcPr>
            <w:tcW w:type="dxa" w:w="3264"/>
            <w:vAlign w:val="center"/>
          </w:tcPr>
          <w:p>
            <w:r>
              <w:t>New backend work</w:t>
            </w:r>
          </w:p>
        </w:tc>
      </w:tr>
      <w:tr>
        <w:tc>
          <w:tcPr>
            <w:tcW w:type="dxa" w:w="3264"/>
            <w:vAlign w:val="center"/>
          </w:tcPr>
          <w:p>
            <w:r>
              <w:t>Admin</w:t>
            </w:r>
          </w:p>
        </w:tc>
        <w:tc>
          <w:tcPr>
            <w:tcW w:type="dxa" w:w="3264"/>
            <w:vAlign w:val="center"/>
          </w:tcPr>
          <w:p>
            <w:r>
              <w:t>Manage reviewers, access, audit logs, settings</w:t>
            </w:r>
          </w:p>
        </w:tc>
        <w:tc>
          <w:tcPr>
            <w:tcW w:type="dxa" w:w="3264"/>
            <w:vAlign w:val="center"/>
          </w:tcPr>
          <w:p>
            <w:r>
              <w:t>New backend work</w:t>
            </w:r>
          </w:p>
        </w:tc>
      </w:tr>
      <w:tr>
        <w:tc>
          <w:tcPr>
            <w:tcW w:type="dxa" w:w="3264"/>
            <w:vAlign w:val="center"/>
          </w:tcPr>
          <w:p>
            <w:r>
              <w:t>Demo mode</w:t>
            </w:r>
          </w:p>
        </w:tc>
        <w:tc>
          <w:tcPr>
            <w:tcW w:type="dxa" w:w="3264"/>
            <w:vAlign w:val="center"/>
          </w:tcPr>
          <w:p>
            <w:r>
              <w:t>Read-only synthetic data, no account required</w:t>
            </w:r>
          </w:p>
        </w:tc>
        <w:tc>
          <w:tcPr>
            <w:tcW w:type="dxa" w:w="3264"/>
            <w:vAlign w:val="center"/>
          </w:tcPr>
          <w:p>
            <w:r>
              <w:t>Recommended initial release</w:t>
            </w:r>
          </w:p>
        </w:tc>
      </w:tr>
    </w:tbl>
    <w:p/>
    <w:p>
      <w:r>
        <w:t>Start with a read-only public demo. Require authentication and server-side authorization before implementing persistent case decisions or sensitive administrative actions.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FR-01 Landing / product story</w:t>
      </w:r>
    </w:p>
    <w:p>
      <w:r>
        <w:t>Distinctive land-record-inspired hero, concise value proposition, interactive sample assessment, animated cadastral/parcel visualization, clear demo disclaimer.</w:t>
      </w:r>
    </w:p>
    <w:p>
      <w:pPr>
        <w:pStyle w:val="Heading2"/>
      </w:pPr>
      <w:r>
        <w:t>FR-02 Dashboard</w:t>
      </w:r>
    </w:p>
    <w:p>
      <w:r>
        <w:t>Show verified counts, scenario breakdown, recent demo activity and status categories. Charts must label their synthetic source and never fabricate trend data.</w:t>
      </w:r>
    </w:p>
    <w:p>
      <w:pPr>
        <w:pStyle w:val="Heading2"/>
      </w:pPr>
      <w:r>
        <w:t>FR-03 Transaction Explorer</w:t>
      </w:r>
    </w:p>
    <w:p>
      <w:r>
        <w:t>Search transaction ID or parcel ID; debounced search; server-side pagination; sortable accessible table; filters limited to supported API fields or explicitly added endpoints; loading/empty/error states.</w:t>
      </w:r>
    </w:p>
    <w:p>
      <w:pPr>
        <w:pStyle w:val="Heading2"/>
      </w:pPr>
      <w:r>
        <w:t>FR-04 Parcel Intelligence</w:t>
      </w:r>
    </w:p>
    <w:p>
      <w:r>
        <w:t>Parcel metadata, ownership snapshot, transaction count and dated history; show missing fields as unknown, not zero.</w:t>
      </w:r>
    </w:p>
    <w:p>
      <w:pPr>
        <w:pStyle w:val="Heading2"/>
      </w:pPr>
      <w:r>
        <w:t>FR-05 AI Assessment</w:t>
      </w:r>
    </w:p>
    <w:p>
      <w:r>
        <w:t>Display final status, RF class, IF anomaly label and decision score, evidence findings, warnings, assessment date, and human review recommendation.</w:t>
      </w:r>
    </w:p>
    <w:p>
      <w:pPr>
        <w:pStyle w:val="Heading2"/>
      </w:pPr>
      <w:r>
        <w:t>FR-06 Evidence Explanation</w:t>
      </w:r>
    </w:p>
    <w:p>
      <w:r>
        <w:t>Expandable rule-by-rule rationale; supporting transaction/parcel/mutation references; distinguish raw synthetic flags from independently derived checks.</w:t>
      </w:r>
    </w:p>
    <w:p>
      <w:pPr>
        <w:pStyle w:val="Heading2"/>
      </w:pPr>
      <w:r>
        <w:t>FR-07 Conflict Timeline</w:t>
      </w:r>
    </w:p>
    <w:p>
      <w:r>
        <w:t>Chronological transaction events, buyers/sellers as synthetic aliases, sale area/share, status and overlapping-claim candidates. Future-dated transactions clearly marked pending.</w:t>
      </w:r>
    </w:p>
    <w:p>
      <w:pPr>
        <w:pStyle w:val="Heading2"/>
      </w:pPr>
      <w:r>
        <w:t>FR-08 Review Workspace</w:t>
      </w:r>
    </w:p>
    <w:p>
      <w:r>
        <w:t>Case queue, reviewer notes, assign/resolve/reopen, status history and immutable audit trail; requires new authenticated backend endpoints and database.</w:t>
      </w:r>
    </w:p>
    <w:p>
      <w:pPr>
        <w:pStyle w:val="Heading2"/>
      </w:pPr>
      <w:r>
        <w:t>FR-09 Reports</w:t>
      </w:r>
    </w:p>
    <w:p>
      <w:r>
        <w:t>Export an accessible assessment PDF with timestamp, IDs, findings, caveats and model version. Requires new implementation and validation.</w:t>
      </w:r>
    </w:p>
    <w:p>
      <w:pPr>
        <w:pStyle w:val="Heading2"/>
      </w:pPr>
      <w:r>
        <w:t>FR-10 Settings</w:t>
      </w:r>
    </w:p>
    <w:p>
      <w:r>
        <w:t>Light/dark/system theme, accessibility motion preference, demo explanation; API base URL configured by environment, not editable for arbitrary public users.</w:t>
      </w:r>
    </w:p>
    <w:p>
      <w:pPr>
        <w:pStyle w:val="Heading2"/>
      </w:pPr>
      <w:r>
        <w:t>FR-11 Search &amp; navigation</w:t>
      </w:r>
    </w:p>
    <w:p>
      <w:r>
        <w:t>Collapsible desktop sidebar, tablet drawer, mobile navigation, keyboard operation, current-route state and responsive layouts.</w:t>
      </w:r>
    </w:p>
    <w:p>
      <w:pPr>
        <w:pStyle w:val="Heading2"/>
      </w:pPr>
      <w:r>
        <w:t>FR-12 Error handling</w:t>
      </w:r>
    </w:p>
    <w:p>
      <w:r>
        <w:t>Actionable 404, offline, empty, API failure and validation messages; retry without losing relevant user context.</w:t>
      </w:r>
    </w:p>
    <w:p>
      <w:pPr>
        <w:pStyle w:val="Heading1"/>
      </w:pPr>
      <w:r>
        <w:t>5. Model and decision requirements</w:t>
      </w:r>
    </w:p>
    <w:p>
      <w:pPr>
        <w:pStyle w:val="ListBullet"/>
      </w:pPr>
      <w:r>
        <w:t>MR-01: Load the existing joblib artifacts only from trusted local deployment assets; never retrain, overwrite or silently replace them.</w:t>
      </w:r>
    </w:p>
    <w:p>
      <w:pPr>
        <w:pStyle w:val="ListBullet"/>
      </w:pPr>
      <w:r>
        <w:t>MR-02: Preserve the Random Forest feature order and classes and the Isolation Forest pipeline, features and stored training medians.</w:t>
      </w:r>
    </w:p>
    <w:p>
      <w:pPr>
        <w:pStyle w:val="ListBullet"/>
      </w:pPr>
      <w:r>
        <w:t>MR-03: Isolation Forest ANOMALY is supplementary; never classify a transaction as fraud solely from anomaly output.</w:t>
      </w:r>
    </w:p>
    <w:p>
      <w:pPr>
        <w:pStyle w:val="ListBullet"/>
      </w:pPr>
      <w:r>
        <w:t>MR-04: Status precedence: invalid/future transaction date -&gt; PENDING_DATE_VERIFICATION; else RF or evidence REVIEW_REQUIRED -&gt; REVIEW_REQUIRED; else insufficient -&gt; INSUFFICIENT_EVIDENCE; else NO_REVIEW_FLAG_DETECTED.</w:t>
      </w:r>
    </w:p>
    <w:p>
      <w:pPr>
        <w:pStyle w:val="ListBullet"/>
      </w:pPr>
      <w:r>
        <w:t>MR-05: Multiple sales are review candidates, not conclusive double-selling. Legitimate resale and fractional ownership require human verification.</w:t>
      </w:r>
    </w:p>
    <w:p>
      <w:pPr>
        <w:pStyle w:val="ListBullet"/>
      </w:pPr>
      <w:r>
        <w:t>MR-06: Preserve and display disagreement between RF and evidence engine, especially when RF says no flag and rules say review.</w:t>
      </w:r>
    </w:p>
    <w:p>
      <w:pPr>
        <w:pStyle w:val="ListBullet"/>
      </w:pPr>
      <w:r>
        <w:t>MR-07: Record model version, assessment timestamp, synthetic-data provenance and rule version in report metadata.</w:t>
      </w:r>
    </w:p>
    <w:p>
      <w:pPr>
        <w:pStyle w:val="ListBullet"/>
      </w:pPr>
      <w:r>
        <w:t>MR-08: Existing ownership data lacks a full transfer chain; describe seller checks as snapshot-based, not authoritative title verification.</w:t>
      </w:r>
    </w:p>
    <w:p>
      <w:pPr>
        <w:pStyle w:val="Heading1"/>
      </w:pPr>
      <w:r>
        <w:t>6. UX concept and visual direction</w:t>
      </w:r>
    </w:p>
    <w:p>
      <w:r>
        <w:t>Design concept: “Cadastral Intelligence Console”. Build visual identity from land survey grids, registry index lines, parcel boundaries, ledger typography and forensic document review. The first memorable visual is an interactive parcel-grid assessment, not a generic gradient card dashboard.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Token</w:t>
            </w:r>
          </w:p>
        </w:tc>
        <w:tc>
          <w:tcPr>
            <w:tcW w:type="dxa" w:w="3264"/>
            <w:vAlign w:val="center"/>
          </w:tcPr>
          <w:p>
            <w:r>
              <w:t>Suggested value</w:t>
            </w:r>
          </w:p>
        </w:tc>
        <w:tc>
          <w:tcPr>
            <w:tcW w:type="dxa" w:w="3264"/>
            <w:vAlign w:val="center"/>
          </w:tcPr>
          <w:p>
            <w:r>
              <w:t>Use</w:t>
            </w:r>
          </w:p>
        </w:tc>
      </w:tr>
      <w:tr>
        <w:tc>
          <w:tcPr>
            <w:tcW w:type="dxa" w:w="3264"/>
            <w:vAlign w:val="center"/>
          </w:tcPr>
          <w:p>
            <w:r>
              <w:t>Ink</w:t>
            </w:r>
          </w:p>
        </w:tc>
        <w:tc>
          <w:tcPr>
            <w:tcW w:type="dxa" w:w="3264"/>
            <w:vAlign w:val="center"/>
          </w:tcPr>
          <w:p>
            <w:r>
              <w:t xml:space="preserve"> #172C32</w:t>
            </w:r>
          </w:p>
        </w:tc>
        <w:tc>
          <w:tcPr>
            <w:tcW w:type="dxa" w:w="3264"/>
            <w:vAlign w:val="center"/>
          </w:tcPr>
          <w:p>
            <w:r>
              <w:t>Primary text / deep navigation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Paper</w:t>
            </w:r>
          </w:p>
        </w:tc>
        <w:tc>
          <w:tcPr>
            <w:tcW w:type="dxa" w:w="3264"/>
            <w:vAlign w:val="center"/>
          </w:tcPr>
          <w:p>
            <w:r>
              <w:t xml:space="preserve"> #F7F8F4</w:t>
            </w:r>
          </w:p>
        </w:tc>
        <w:tc>
          <w:tcPr>
            <w:tcW w:type="dxa" w:w="3264"/>
            <w:vAlign w:val="center"/>
          </w:tcPr>
          <w:p>
            <w:r>
              <w:t>Light canvas</w:t>
            </w:r>
          </w:p>
        </w:tc>
      </w:tr>
      <w:tr>
        <w:tc>
          <w:tcPr>
            <w:tcW w:type="dxa" w:w="3264"/>
            <w:vAlign w:val="center"/>
          </w:tcPr>
          <w:p>
            <w:r>
              <w:t>Survey teal</w:t>
            </w:r>
          </w:p>
        </w:tc>
        <w:tc>
          <w:tcPr>
            <w:tcW w:type="dxa" w:w="3264"/>
            <w:vAlign w:val="center"/>
          </w:tcPr>
          <w:p>
            <w:r>
              <w:t xml:space="preserve"> #157C78</w:t>
            </w:r>
          </w:p>
        </w:tc>
        <w:tc>
          <w:tcPr>
            <w:tcW w:type="dxa" w:w="3264"/>
            <w:vAlign w:val="center"/>
          </w:tcPr>
          <w:p>
            <w:r>
              <w:t>Primary actions and selected states</w:t>
            </w:r>
          </w:p>
        </w:tc>
      </w:tr>
      <w:tr>
        <w:tc>
          <w:tcPr>
            <w:tcW w:type="dxa" w:w="3264"/>
            <w:vAlign w:val="center"/>
          </w:tcPr>
          <w:p>
            <w:r>
              <w:t>Evidence amber</w:t>
            </w:r>
          </w:p>
        </w:tc>
        <w:tc>
          <w:tcPr>
            <w:tcW w:type="dxa" w:w="3264"/>
            <w:vAlign w:val="center"/>
          </w:tcPr>
          <w:p>
            <w:r>
              <w:t xml:space="preserve"> #B66D23</w:t>
            </w:r>
          </w:p>
        </w:tc>
        <w:tc>
          <w:tcPr>
            <w:tcW w:type="dxa" w:w="3264"/>
            <w:vAlign w:val="center"/>
          </w:tcPr>
          <w:p>
            <w:r>
              <w:t>Review caution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Record blue</w:t>
            </w:r>
          </w:p>
        </w:tc>
        <w:tc>
          <w:tcPr>
            <w:tcW w:type="dxa" w:w="3264"/>
            <w:vAlign w:val="center"/>
          </w:tcPr>
          <w:p>
            <w:r>
              <w:t xml:space="preserve"> #426B85</w:t>
            </w:r>
          </w:p>
        </w:tc>
        <w:tc>
          <w:tcPr>
            <w:tcW w:type="dxa" w:w="3264"/>
            <w:vAlign w:val="center"/>
          </w:tcPr>
          <w:p>
            <w:r>
              <w:t>Information and charts</w:t>
            </w:r>
          </w:p>
        </w:tc>
      </w:tr>
      <w:tr>
        <w:tc>
          <w:tcPr>
            <w:tcW w:type="dxa" w:w="3264"/>
            <w:vAlign w:val="center"/>
          </w:tcPr>
          <w:p>
            <w:r>
              <w:t>Alert red</w:t>
            </w:r>
          </w:p>
        </w:tc>
        <w:tc>
          <w:tcPr>
            <w:tcW w:type="dxa" w:w="3264"/>
            <w:vAlign w:val="center"/>
          </w:tcPr>
          <w:p>
            <w:r>
              <w:t xml:space="preserve"> #B74445</w:t>
            </w:r>
          </w:p>
        </w:tc>
        <w:tc>
          <w:tcPr>
            <w:tcW w:type="dxa" w:w="3264"/>
            <w:vAlign w:val="center"/>
          </w:tcPr>
          <w:p>
            <w:r>
              <w:t>Error/review only</w:t>
            </w:r>
          </w:p>
        </w:tc>
      </w:tr>
    </w:tbl>
    <w:p/>
    <w:p>
      <w:r>
        <w:t>Typography: Manrope or Plus Jakarta Sans for UI; IBM Plex Mono sparingly for parcel IDs and evidence metadata. Prefer a disciplined 8px rhythm, crisp 6–10px corners, meaningful separators and compact information-dense tables. Avoid generic purple gradients, nested cards, or decorative floating orbs.</w:t>
      </w:r>
    </w:p>
    <w:p>
      <w:pPr>
        <w:pStyle w:val="Heading1"/>
      </w:pPr>
      <w:r>
        <w:t>7. Required motion and supplied components</w:t>
      </w:r>
    </w:p>
    <w:p>
      <w:pPr>
        <w:pStyle w:val="ListBullet"/>
      </w:pPr>
      <w:r>
        <w:t>UX-01 Scroll-driven SVG connector: animate an SVG path draw based on scroll progress between the “Record → Compare → Flag → Review” sections; clamp progress; support reduced motion; do not rely on animation to convey information.</w:t>
      </w:r>
    </w:p>
    <w:p>
      <w:pPr>
        <w:pStyle w:val="ListBullet"/>
      </w:pPr>
      <w:r>
        <w:t>UX-02 MagnificationDock: integrate the supplied React/Framer Motion component as a desktop quick-action dock for Dashboard, Search, Parcel History, Review and Settings. Adapt the code for React/TypeScript compatibility, semantic buttons, keyboard activation, tooltips and responsive fallback.</w:t>
      </w:r>
    </w:p>
    <w:p>
      <w:pPr>
        <w:pStyle w:val="ListBullet"/>
      </w:pPr>
      <w:r>
        <w:t>UX-03 Prefer purposeful motion: one orchestrated landing reveal, functional expand/collapse and timeline highlighting. Avoid constant dashboard animations.</w:t>
      </w:r>
    </w:p>
    <w:p>
      <w:pPr>
        <w:pStyle w:val="ListBullet"/>
      </w:pPr>
      <w:r>
        <w:t>UX-04 Optional React Three Fiber parcel terrain/grid visualization only on landing or an opt-in view, lazy-loaded with 2D fallback. Do not block dashboard performance.</w:t>
      </w:r>
    </w:p>
    <w:p>
      <w:pPr>
        <w:pStyle w:val="ListBullet"/>
      </w:pPr>
      <w:r>
        <w:t>UX-05 Respect prefers-reduced-motion, provide visible focus states and minimum practical 44px touch targets.</w:t>
      </w:r>
    </w:p>
    <w:p>
      <w:pPr>
        <w:pStyle w:val="Heading1"/>
      </w:pPr>
      <w:r>
        <w:t>8. Responsive layout and design system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Viewport</w:t>
            </w:r>
          </w:p>
        </w:tc>
        <w:tc>
          <w:tcPr>
            <w:tcW w:type="dxa" w:w="3264"/>
            <w:vAlign w:val="center"/>
          </w:tcPr>
          <w:p>
            <w:r>
              <w:t>Navigation</w:t>
            </w:r>
          </w:p>
        </w:tc>
        <w:tc>
          <w:tcPr>
            <w:tcW w:type="dxa" w:w="3264"/>
            <w:vAlign w:val="center"/>
          </w:tcPr>
          <w:p>
            <w:r>
              <w:t>Content</w:t>
            </w:r>
          </w:p>
        </w:tc>
      </w:tr>
      <w:tr>
        <w:tc>
          <w:tcPr>
            <w:tcW w:type="dxa" w:w="3264"/>
            <w:vAlign w:val="center"/>
          </w:tcPr>
          <w:p>
            <w:r>
              <w:t>Mobile 320–767px</w:t>
            </w:r>
          </w:p>
        </w:tc>
        <w:tc>
          <w:tcPr>
            <w:tcW w:type="dxa" w:w="3264"/>
            <w:vAlign w:val="center"/>
          </w:tcPr>
          <w:p>
            <w:r>
              <w:t>Bottom primary navigation + accessible drawer</w:t>
            </w:r>
          </w:p>
        </w:tc>
        <w:tc>
          <w:tcPr>
            <w:tcW w:type="dxa" w:w="3264"/>
            <w:vAlign w:val="center"/>
          </w:tcPr>
          <w:p>
            <w:r>
              <w:t>Single-column panels; scrollable table with stable columns</w:t>
            </w:r>
          </w:p>
        </w:tc>
      </w:tr>
      <w:tr>
        <w:tc>
          <w:tcPr>
            <w:tcW w:type="dxa" w:w="3264"/>
            <w:vAlign w:val="center"/>
          </w:tcPr>
          <w:p>
            <w:r>
              <w:t>Tablet 768–1023px</w:t>
            </w:r>
          </w:p>
        </w:tc>
        <w:tc>
          <w:tcPr>
            <w:tcW w:type="dxa" w:w="3264"/>
            <w:vAlign w:val="center"/>
          </w:tcPr>
          <w:p>
            <w:r>
              <w:t>Collapsible/drawer sidebar</w:t>
            </w:r>
          </w:p>
        </w:tc>
        <w:tc>
          <w:tcPr>
            <w:tcW w:type="dxa" w:w="3264"/>
            <w:vAlign w:val="center"/>
          </w:tcPr>
          <w:p>
            <w:r>
              <w:t>Two-column summary; readable chart/table regions</w:t>
            </w:r>
          </w:p>
        </w:tc>
      </w:tr>
      <w:tr>
        <w:tc>
          <w:tcPr>
            <w:tcW w:type="dxa" w:w="3264"/>
            <w:vAlign w:val="center"/>
          </w:tcPr>
          <w:p>
            <w:r>
              <w:t>Desktop 1024px+</w:t>
            </w:r>
          </w:p>
        </w:tc>
        <w:tc>
          <w:tcPr>
            <w:tcW w:type="dxa" w:w="3264"/>
            <w:vAlign w:val="center"/>
          </w:tcPr>
          <w:p>
            <w:r>
              <w:t>Persistent collapsible sidebar; optional MagnificationDock</w:t>
            </w:r>
          </w:p>
        </w:tc>
        <w:tc>
          <w:tcPr>
            <w:tcW w:type="dxa" w:w="3264"/>
            <w:vAlign w:val="center"/>
          </w:tcPr>
          <w:p>
            <w:r>
              <w:t>Dense workspace, contextual detail panel, four summary metrics</w:t>
            </w:r>
          </w:p>
        </w:tc>
      </w:tr>
    </w:tbl>
    <w:p/>
    <w:p>
      <w:r>
        <w:t>Create semantic design tokens (background, surface, raised surface, text, border, focus, success, warning, error), three-state theme (light/dark/system), real component style guide, accessible toasts, skeletons with stable dimensions, empty states, and typed reusable controls. WCAG 2.1 AA is the acceptance target.</w:t>
      </w:r>
    </w:p>
    <w:p>
      <w:pPr>
        <w:pStyle w:val="Heading1"/>
      </w:pPr>
      <w:r>
        <w:t>9. Frontend technology and architecture</w:t>
      </w:r>
    </w:p>
    <w:p>
      <w:r>
        <w:t>Vite + React + TypeScript strict + Tailwind CSS + React Router + TanStack Query + Lucide React + Recharts + Motion/Framer Motion. Use Zod for API response validation where useful; React Three Fiber is optional. Implement one typed API client using VITE_API_URL. Do not put credentials or sensitive configuration in Vite environment variables.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Layer</w:t>
            </w:r>
          </w:p>
        </w:tc>
        <w:tc>
          <w:tcPr>
            <w:tcW w:type="dxa" w:w="4896"/>
            <w:vAlign w:val="center"/>
          </w:tcPr>
          <w:p>
            <w:r>
              <w:t>Suggested folders</w:t>
            </w:r>
          </w:p>
        </w:tc>
      </w:tr>
      <w:tr>
        <w:tc>
          <w:tcPr>
            <w:tcW w:type="dxa" w:w="4896"/>
            <w:vAlign w:val="center"/>
          </w:tcPr>
          <w:p>
            <w:r>
              <w:t>Routes</w:t>
            </w:r>
          </w:p>
        </w:tc>
        <w:tc>
          <w:tcPr>
            <w:tcW w:type="dxa" w:w="4896"/>
            <w:vAlign w:val="center"/>
          </w:tcPr>
          <w:p>
            <w:r>
              <w:t>frontend/src/pages</w:t>
            </w:r>
          </w:p>
        </w:tc>
      </w:tr>
      <w:tr>
        <w:tc>
          <w:tcPr>
            <w:tcW w:type="dxa" w:w="4896"/>
            <w:vAlign w:val="center"/>
          </w:tcPr>
          <w:p>
            <w:r>
              <w:t>Components</w:t>
            </w:r>
          </w:p>
        </w:tc>
        <w:tc>
          <w:tcPr>
            <w:tcW w:type="dxa" w:w="4896"/>
            <w:vAlign w:val="center"/>
          </w:tcPr>
          <w:p>
            <w:r>
              <w:t>frontend/src/components/{layout,ui,assessment,parcel,charts}</w:t>
            </w:r>
          </w:p>
        </w:tc>
      </w:tr>
      <w:tr>
        <w:tc>
          <w:tcPr>
            <w:tcW w:type="dxa" w:w="4896"/>
            <w:vAlign w:val="center"/>
          </w:tcPr>
          <w:p>
            <w:r>
              <w:t>Data/API</w:t>
            </w:r>
          </w:p>
        </w:tc>
        <w:tc>
          <w:tcPr>
            <w:tcW w:type="dxa" w:w="4896"/>
            <w:vAlign w:val="center"/>
          </w:tcPr>
          <w:p>
            <w:r>
              <w:t>frontend/src/lib/api.ts and frontend/src/features/*</w:t>
            </w:r>
          </w:p>
        </w:tc>
      </w:tr>
      <w:tr>
        <w:tc>
          <w:tcPr>
            <w:tcW w:type="dxa" w:w="4896"/>
            <w:vAlign w:val="center"/>
          </w:tcPr>
          <w:p>
            <w:r>
              <w:t>Design tokens</w:t>
            </w:r>
          </w:p>
        </w:tc>
        <w:tc>
          <w:tcPr>
            <w:tcW w:type="dxa" w:w="4896"/>
            <w:vAlign w:val="center"/>
          </w:tcPr>
          <w:p>
            <w:r>
              <w:t>frontend/src/styles/tokens.css</w:t>
            </w:r>
          </w:p>
        </w:tc>
      </w:tr>
      <w:tr>
        <w:tc>
          <w:tcPr>
            <w:tcW w:type="dxa" w:w="4896"/>
            <w:vAlign w:val="center"/>
          </w:tcPr>
          <w:p>
            <w:r>
              <w:t>Types</w:t>
            </w:r>
          </w:p>
        </w:tc>
        <w:tc>
          <w:tcPr>
            <w:tcW w:type="dxa" w:w="4896"/>
            <w:vAlign w:val="center"/>
          </w:tcPr>
          <w:p>
            <w:r>
              <w:t>frontend/src/types</w:t>
            </w:r>
          </w:p>
        </w:tc>
      </w:tr>
      <w:tr>
        <w:tc>
          <w:tcPr>
            <w:tcW w:type="dxa" w:w="4896"/>
            <w:vAlign w:val="center"/>
          </w:tcPr>
          <w:p>
            <w:r>
              <w:t>Tests</w:t>
            </w:r>
          </w:p>
        </w:tc>
        <w:tc>
          <w:tcPr>
            <w:tcW w:type="dxa" w:w="4896"/>
            <w:vAlign w:val="center"/>
          </w:tcPr>
          <w:p>
            <w:r>
              <w:t>frontend/src/**/*.test.tsx and e2e/</w:t>
            </w:r>
          </w:p>
        </w:tc>
      </w:tr>
    </w:tbl>
    <w:p/>
    <w:p>
      <w:pPr>
        <w:pStyle w:val="Heading1"/>
      </w:pPr>
      <w:r>
        <w:t>10. Backend architecture and API contracts</w:t>
      </w:r>
    </w:p>
    <w:p>
      <w:r>
        <w:t>Retain Python/FastAPI and existing ML artifacts. Refactor into app/api, app/services, app/models, app/core, and app/repositories only after preserving current tests. Prefer versioned /api/v1 routes while supporting legacy routes until the frontend migrates.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Method / path</w:t>
            </w:r>
          </w:p>
        </w:tc>
        <w:tc>
          <w:tcPr>
            <w:tcW w:type="dxa" w:w="3264"/>
            <w:vAlign w:val="center"/>
          </w:tcPr>
          <w:p>
            <w:r>
              <w:t>Behavior</w:t>
            </w:r>
          </w:p>
        </w:tc>
        <w:tc>
          <w:tcPr>
            <w:tcW w:type="dxa" w:w="3264"/>
            <w:vAlign w:val="center"/>
          </w:tcPr>
          <w:p>
            <w:r>
              <w:t>Status</w:t>
            </w:r>
          </w:p>
        </w:tc>
      </w:tr>
      <w:tr>
        <w:tc>
          <w:tcPr>
            <w:tcW w:type="dxa" w:w="3264"/>
            <w:vAlign w:val="center"/>
          </w:tcPr>
          <w:p>
            <w:r>
              <w:t>GET /health</w:t>
            </w:r>
          </w:p>
        </w:tc>
        <w:tc>
          <w:tcPr>
            <w:tcW w:type="dxa" w:w="3264"/>
            <w:vAlign w:val="center"/>
          </w:tcPr>
          <w:p>
            <w:r>
              <w:t>Model and dataset readiness</w:t>
            </w:r>
          </w:p>
        </w:tc>
        <w:tc>
          <w:tcPr>
            <w:tcW w:type="dxa" w:w="3264"/>
            <w:vAlign w:val="center"/>
          </w:tcPr>
          <w:p>
            <w:r>
              <w:t>Existing</w:t>
            </w:r>
          </w:p>
        </w:tc>
      </w:tr>
      <w:tr>
        <w:tc>
          <w:tcPr>
            <w:tcW w:type="dxa" w:w="3264"/>
            <w:vAlign w:val="center"/>
          </w:tcPr>
          <w:p>
            <w:r>
              <w:t>GET /dashboard/summary</w:t>
            </w:r>
          </w:p>
        </w:tc>
        <w:tc>
          <w:tcPr>
            <w:tcW w:type="dxa" w:w="3264"/>
            <w:vAlign w:val="center"/>
          </w:tcPr>
          <w:p>
            <w:r>
              <w:t>Synthetic totals and scenario counts</w:t>
            </w:r>
          </w:p>
        </w:tc>
        <w:tc>
          <w:tcPr>
            <w:tcW w:type="dxa" w:w="3264"/>
            <w:vAlign w:val="center"/>
          </w:tcPr>
          <w:p>
            <w:r>
              <w:t>Existing</w:t>
            </w:r>
          </w:p>
        </w:tc>
      </w:tr>
      <w:tr>
        <w:tc>
          <w:tcPr>
            <w:tcW w:type="dxa" w:w="3264"/>
            <w:vAlign w:val="center"/>
          </w:tcPr>
          <w:p>
            <w:r>
              <w:t>GET /transactions?search=&amp;limit=&amp;offset=</w:t>
            </w:r>
          </w:p>
        </w:tc>
        <w:tc>
          <w:tcPr>
            <w:tcW w:type="dxa" w:w="3264"/>
            <w:vAlign w:val="center"/>
          </w:tcPr>
          <w:p>
            <w:r>
              <w:t>Paginated transaction list</w:t>
            </w:r>
          </w:p>
        </w:tc>
        <w:tc>
          <w:tcPr>
            <w:tcW w:type="dxa" w:w="3264"/>
            <w:vAlign w:val="center"/>
          </w:tcPr>
          <w:p>
            <w:r>
              <w:t>Existing</w:t>
            </w:r>
          </w:p>
        </w:tc>
      </w:tr>
      <w:tr>
        <w:tc>
          <w:tcPr>
            <w:tcW w:type="dxa" w:w="3264"/>
            <w:vAlign w:val="center"/>
          </w:tcPr>
          <w:p>
            <w:r>
              <w:t>GET /transactions/{id}</w:t>
            </w:r>
          </w:p>
        </w:tc>
        <w:tc>
          <w:tcPr>
            <w:tcW w:type="dxa" w:w="3264"/>
            <w:vAlign w:val="center"/>
          </w:tcPr>
          <w:p>
            <w:r>
              <w:t>Single transaction</w:t>
            </w:r>
          </w:p>
        </w:tc>
        <w:tc>
          <w:tcPr>
            <w:tcW w:type="dxa" w:w="3264"/>
            <w:vAlign w:val="center"/>
          </w:tcPr>
          <w:p>
            <w:r>
              <w:t>Existing</w:t>
            </w:r>
          </w:p>
        </w:tc>
      </w:tr>
      <w:tr>
        <w:tc>
          <w:tcPr>
            <w:tcW w:type="dxa" w:w="3264"/>
            <w:vAlign w:val="center"/>
          </w:tcPr>
          <w:p>
            <w:r>
              <w:t>GET /parcels/{id}/history</w:t>
            </w:r>
          </w:p>
        </w:tc>
        <w:tc>
          <w:tcPr>
            <w:tcW w:type="dxa" w:w="3264"/>
            <w:vAlign w:val="center"/>
          </w:tcPr>
          <w:p>
            <w:r>
              <w:t>Parcel and chronological transactions</w:t>
            </w:r>
          </w:p>
        </w:tc>
        <w:tc>
          <w:tcPr>
            <w:tcW w:type="dxa" w:w="3264"/>
            <w:vAlign w:val="center"/>
          </w:tcPr>
          <w:p>
            <w:r>
              <w:t>Existing</w:t>
            </w:r>
          </w:p>
        </w:tc>
      </w:tr>
      <w:tr>
        <w:tc>
          <w:tcPr>
            <w:tcW w:type="dxa" w:w="3264"/>
            <w:vAlign w:val="center"/>
          </w:tcPr>
          <w:p>
            <w:r>
              <w:t>GET /assess/{id}?as_of_date=YYYY-MM-DD</w:t>
            </w:r>
          </w:p>
        </w:tc>
        <w:tc>
          <w:tcPr>
            <w:tcW w:type="dxa" w:w="3264"/>
            <w:vAlign w:val="center"/>
          </w:tcPr>
          <w:p>
            <w:r>
              <w:t>Unified RF + IF + evidence response</w:t>
            </w:r>
          </w:p>
        </w:tc>
        <w:tc>
          <w:tcPr>
            <w:tcW w:type="dxa" w:w="3264"/>
            <w:vAlign w:val="center"/>
          </w:tcPr>
          <w:p>
            <w:r>
              <w:t>Existing</w:t>
            </w:r>
          </w:p>
        </w:tc>
      </w:tr>
      <w:tr>
        <w:tc>
          <w:tcPr>
            <w:tcW w:type="dxa" w:w="3264"/>
            <w:vAlign w:val="center"/>
          </w:tcPr>
          <w:p>
            <w:r>
              <w:t>GET /review-cases</w:t>
            </w:r>
          </w:p>
        </w:tc>
        <w:tc>
          <w:tcPr>
            <w:tcW w:type="dxa" w:w="3264"/>
            <w:vAlign w:val="center"/>
          </w:tcPr>
          <w:p>
            <w:r>
              <w:t>Case queue with filters</w:t>
            </w:r>
          </w:p>
        </w:tc>
        <w:tc>
          <w:tcPr>
            <w:tcW w:type="dxa" w:w="3264"/>
            <w:vAlign w:val="center"/>
          </w:tcPr>
          <w:p>
            <w:r>
              <w:t>New</w:t>
            </w:r>
          </w:p>
        </w:tc>
      </w:tr>
      <w:tr>
        <w:tc>
          <w:tcPr>
            <w:tcW w:type="dxa" w:w="3264"/>
            <w:vAlign w:val="center"/>
          </w:tcPr>
          <w:p>
            <w:r>
              <w:t>PATCH /review-cases/{id}</w:t>
            </w:r>
          </w:p>
        </w:tc>
        <w:tc>
          <w:tcPr>
            <w:tcW w:type="dxa" w:w="3264"/>
            <w:vAlign w:val="center"/>
          </w:tcPr>
          <w:p>
            <w:r>
              <w:t>Authorized case decision and note</w:t>
            </w:r>
          </w:p>
        </w:tc>
        <w:tc>
          <w:tcPr>
            <w:tcW w:type="dxa" w:w="3264"/>
            <w:vAlign w:val="center"/>
          </w:tcPr>
          <w:p>
            <w:r>
              <w:t>New</w:t>
            </w:r>
          </w:p>
        </w:tc>
      </w:tr>
      <w:tr>
        <w:tc>
          <w:tcPr>
            <w:tcW w:type="dxa" w:w="3264"/>
            <w:vAlign w:val="center"/>
          </w:tcPr>
          <w:p>
            <w:r>
              <w:t>GET /reports/{transaction_id}.pdf</w:t>
            </w:r>
          </w:p>
        </w:tc>
        <w:tc>
          <w:tcPr>
            <w:tcW w:type="dxa" w:w="3264"/>
            <w:vAlign w:val="center"/>
          </w:tcPr>
          <w:p>
            <w:r>
              <w:t>Generated report</w:t>
            </w:r>
          </w:p>
        </w:tc>
        <w:tc>
          <w:tcPr>
            <w:tcW w:type="dxa" w:w="3264"/>
            <w:vAlign w:val="center"/>
          </w:tcPr>
          <w:p>
            <w:r>
              <w:t>New</w:t>
            </w:r>
          </w:p>
        </w:tc>
      </w:tr>
      <w:tr>
        <w:tc>
          <w:tcPr>
            <w:tcW w:type="dxa" w:w="3264"/>
            <w:vAlign w:val="center"/>
          </w:tcPr>
          <w:p>
            <w:r>
              <w:t>POST /auth/login; POST /auth/logout</w:t>
            </w:r>
          </w:p>
        </w:tc>
        <w:tc>
          <w:tcPr>
            <w:tcW w:type="dxa" w:w="3264"/>
            <w:vAlign w:val="center"/>
          </w:tcPr>
          <w:p>
            <w:r>
              <w:t>Secure reviewer session</w:t>
            </w:r>
          </w:p>
        </w:tc>
        <w:tc>
          <w:tcPr>
            <w:tcW w:type="dxa" w:w="3264"/>
            <w:vAlign w:val="center"/>
          </w:tcPr>
          <w:p>
            <w:r>
              <w:t>New</w:t>
            </w:r>
          </w:p>
        </w:tc>
      </w:tr>
    </w:tbl>
    <w:p/>
    <w:p>
      <w:r>
        <w:t>Use consistent JSON errors, Pydantic validation, rate limits, strict CORS allowlist, configurable deployment settings and request logging without personal information. Existing /assess is GET and read-only; do not expose model loading or arbitrary file paths through user input.</w:t>
      </w:r>
    </w:p>
    <w:p>
      <w:pPr>
        <w:pStyle w:val="Heading1"/>
      </w:pPr>
      <w:r>
        <w:t>11. Database and persistence</w:t>
      </w:r>
    </w:p>
    <w:p>
      <w:r>
        <w:t>Phase 1: read-only CSV and model assets; no database needed for basic demo. Phase 2: PostgreSQL or SQLite for review cases, reviewer accounts, notes and audit events. Never rewrite source CSVs as a substitute for audited case decisions.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Entity</w:t>
            </w:r>
          </w:p>
        </w:tc>
        <w:tc>
          <w:tcPr>
            <w:tcW w:type="dxa" w:w="4896"/>
            <w:vAlign w:val="center"/>
          </w:tcPr>
          <w:p>
            <w:r>
              <w:t>Key fields</w:t>
            </w:r>
          </w:p>
        </w:tc>
      </w:tr>
      <w:tr>
        <w:tc>
          <w:tcPr>
            <w:tcW w:type="dxa" w:w="4896"/>
            <w:vAlign w:val="center"/>
          </w:tcPr>
          <w:p>
            <w:r>
              <w:t>review_cases</w:t>
            </w:r>
          </w:p>
        </w:tc>
        <w:tc>
          <w:tcPr>
            <w:tcW w:type="dxa" w:w="4896"/>
            <w:vAlign w:val="center"/>
          </w:tcPr>
          <w:p>
            <w:r>
              <w:t>id, transaction_id, state, assigned_reviewer_id, created_at, updated_at</w:t>
            </w:r>
          </w:p>
        </w:tc>
      </w:tr>
      <w:tr>
        <w:tc>
          <w:tcPr>
            <w:tcW w:type="dxa" w:w="4896"/>
            <w:vAlign w:val="center"/>
          </w:tcPr>
          <w:p>
            <w:r>
              <w:t>review_events</w:t>
            </w:r>
          </w:p>
        </w:tc>
        <w:tc>
          <w:tcPr>
            <w:tcW w:type="dxa" w:w="4896"/>
            <w:vAlign w:val="center"/>
          </w:tcPr>
          <w:p>
            <w:r>
              <w:t>id, case_id, actor_id, action, before_state, after_state, timestamp</w:t>
            </w:r>
          </w:p>
        </w:tc>
      </w:tr>
      <w:tr>
        <w:tc>
          <w:tcPr>
            <w:tcW w:type="dxa" w:w="4896"/>
            <w:vAlign w:val="center"/>
          </w:tcPr>
          <w:p>
            <w:r>
              <w:t>review_notes</w:t>
            </w:r>
          </w:p>
        </w:tc>
        <w:tc>
          <w:tcPr>
            <w:tcW w:type="dxa" w:w="4896"/>
            <w:vAlign w:val="center"/>
          </w:tcPr>
          <w:p>
            <w:r>
              <w:t>id, case_id, author_id, body, created_at</w:t>
            </w:r>
          </w:p>
        </w:tc>
      </w:tr>
      <w:tr>
        <w:tc>
          <w:tcPr>
            <w:tcW w:type="dxa" w:w="4896"/>
            <w:vAlign w:val="center"/>
          </w:tcPr>
          <w:p>
            <w:r>
              <w:t>users</w:t>
            </w:r>
          </w:p>
        </w:tc>
        <w:tc>
          <w:tcPr>
            <w:tcW w:type="dxa" w:w="4896"/>
            <w:vAlign w:val="center"/>
          </w:tcPr>
          <w:p>
            <w:r>
              <w:t>id, email, password_hash or external identity, role, active</w:t>
            </w:r>
          </w:p>
        </w:tc>
      </w:tr>
    </w:tbl>
    <w:p/>
    <w:p>
      <w:r>
        <w:t>All mutable review actions must be transactional, role-authorized and auditable. Use migrations and indexes for transaction_id, case state and timestamps. Node/Express/PostgreSQL example skills supplied by the user are conceptual references, not instructions to replace the working Python backend.</w:t>
      </w:r>
    </w:p>
    <w:p>
      <w:pPr>
        <w:pStyle w:val="Heading1"/>
      </w:pPr>
      <w:r>
        <w:t>12. Security, privacy and ethical requirements</w:t>
      </w:r>
    </w:p>
    <w:p>
      <w:pPr>
        <w:pStyle w:val="ListBullet"/>
      </w:pPr>
      <w:r>
        <w:t>SEC-01: Only synthetic demonstration records; do not collect real NIDs, deeds, signatures, phone numbers or private land documents.</w:t>
      </w:r>
    </w:p>
    <w:p>
      <w:pPr>
        <w:pStyle w:val="ListBullet"/>
      </w:pPr>
      <w:r>
        <w:t>SEC-02: Do not commit secrets, .env, access tokens, private datasets or model artifacts to a public GitHub repository by default.</w:t>
      </w:r>
    </w:p>
    <w:p>
      <w:pPr>
        <w:pStyle w:val="ListBullet"/>
      </w:pPr>
      <w:r>
        <w:t>SEC-03: CORS restrict to the deployed frontend origin; never rely on CORS as authentication.</w:t>
      </w:r>
    </w:p>
    <w:p>
      <w:pPr>
        <w:pStyle w:val="ListBullet"/>
      </w:pPr>
      <w:r>
        <w:t>SEC-04: Reviewer/admin actions require authenticated sessions and role checks. Use secure HttpOnly cookies if session authentication is implemented.</w:t>
      </w:r>
    </w:p>
    <w:p>
      <w:pPr>
        <w:pStyle w:val="ListBullet"/>
      </w:pPr>
      <w:r>
        <w:t>SEC-05: Add request rate limiting, bounded pagination, input validation, safe error responses and dependency pinning.</w:t>
      </w:r>
    </w:p>
    <w:p>
      <w:pPr>
        <w:pStyle w:val="ListBullet"/>
      </w:pPr>
      <w:r>
        <w:t>SEC-06: Joblib/pickle artifacts are executable on load; accept only trusted local model files and verify provenance/checksums.</w:t>
      </w:r>
    </w:p>
    <w:p>
      <w:pPr>
        <w:pStyle w:val="ListBullet"/>
      </w:pPr>
      <w:r>
        <w:t>SEC-07: Audit log edits and access to review decisions; redact identifiers and sensitive values from application logs.</w:t>
      </w:r>
    </w:p>
    <w:p>
      <w:pPr>
        <w:pStyle w:val="ListBullet"/>
      </w:pPr>
      <w:r>
        <w:t>SEC-08: PDF reports must include disclaimer and source provenance, not assert criminal guilt or certified ownership.</w:t>
      </w:r>
    </w:p>
    <w:p>
      <w:pPr>
        <w:pStyle w:val="Heading1"/>
      </w:pPr>
      <w:r>
        <w:t>13. Quality, performance and accessibility</w:t>
      </w:r>
    </w:p>
    <w:p>
      <w:pPr>
        <w:pStyle w:val="ListBullet"/>
      </w:pPr>
      <w:r>
        <w:t>NFR-01: Frontend usable from 320px to 1920px with no unintended horizontal page overflow.</w:t>
      </w:r>
    </w:p>
    <w:p>
      <w:pPr>
        <w:pStyle w:val="ListBullet"/>
      </w:pPr>
      <w:r>
        <w:t>NFR-02: Keyboard navigable; semantic HTML; visible focus; screen-reader labels; WCAG 2.1 AA contrast and reduced-motion support.</w:t>
      </w:r>
    </w:p>
    <w:p>
      <w:pPr>
        <w:pStyle w:val="ListBullet"/>
      </w:pPr>
      <w:r>
        <w:t>NFR-03: Stable loading skeletons, explicit empty/error/retry states, no fake charts or hardcoded production-like metrics.</w:t>
      </w:r>
    </w:p>
    <w:p>
      <w:pPr>
        <w:pStyle w:val="ListBullet"/>
      </w:pPr>
      <w:r>
        <w:t>NFR-04: Lazy-load optional 3D and report modules; optimize initial bundle and avoid expensive animations in dense tables.</w:t>
      </w:r>
    </w:p>
    <w:p>
      <w:pPr>
        <w:pStyle w:val="ListBullet"/>
      </w:pPr>
      <w:r>
        <w:t>NFR-05: Tests for decision precedence, date boundaries, repeated-sale false positives, missing mutation, unknown IDs and API failures.</w:t>
      </w:r>
    </w:p>
    <w:p>
      <w:pPr>
        <w:pStyle w:val="ListBullet"/>
      </w:pPr>
      <w:r>
        <w:t>NFR-06: Playwright viewport screenshots and keyboard checks, React Testing Library component tests, pytest FastAPI tests.</w:t>
      </w:r>
    </w:p>
    <w:p>
      <w:pPr>
        <w:pStyle w:val="ListBullet"/>
      </w:pPr>
      <w:r>
        <w:t>NFR-07: Accessibility and responsiveness take priority over visual flourish.</w:t>
      </w:r>
    </w:p>
    <w:p>
      <w:pPr>
        <w:pStyle w:val="Heading1"/>
      </w:pPr>
      <w:r>
        <w:t>14. GitHub, CI and deployment</w:t>
      </w:r>
    </w:p>
    <w:p>
      <w:r>
        <w:t>Vercel is the selected frontend host for the Vite + React + TypeScript application. Deploy FastAPI separately on Render/Railway (recommended for this existing ML backend), because a Vercel React deployment does not run the Python service or its .joblib models. Connect the two HTTPS services through VITE_API_URL and allow only the actual Vercel origin in FastAPI CORS. The frontend build must use Vite base "/" for a Vercel root-domain deployment.</w:t>
      </w:r>
    </w:p>
    <w:p>
      <w:pPr>
        <w:pStyle w:val="ListBullet"/>
      </w:pPr>
      <w:r>
        <w:t>Repository hygiene: README, LICENSE, .gitignore, .env.example, frontend/, backend/, docs/, tests/; avoid committing secrets and unreviewed model binaries.</w:t>
      </w:r>
    </w:p>
    <w:p>
      <w:pPr>
        <w:pStyle w:val="ListBullet"/>
      </w:pPr>
      <w:r>
        <w:t>CI checks: frontend typecheck, lint, build and tests; backend pytest, dependency scan and smoke tests.</w:t>
      </w:r>
    </w:p>
    <w:p>
      <w:pPr>
        <w:pStyle w:val="ListBullet"/>
      </w:pPr>
      <w:r>
        <w:t>Git workflow: feature branches or staged commits (audit, UI foundation, integration, security, deployment); push only after checks pass.</w:t>
      </w:r>
    </w:p>
    <w:p>
      <w:pPr>
        <w:pStyle w:val="ListBullet"/>
      </w:pPr>
      <w:r>
        <w:t>README: purpose, architecture, synthetic disclaimer, model limitations, prerequisites, local startup, environment configuration, API docs, test commands, deployment URLs, demo walkthrough and license.</w:t>
      </w:r>
    </w:p>
    <w:p>
      <w:pPr>
        <w:pStyle w:val="ListBullet"/>
      </w:pPr>
      <w:r>
        <w:t>Antigravity may generate commands and modify local files, but actual GitHub authentication, repository permissions and deployment success must be confirmed from command output; never claim a push or deployment without evidence.</w:t>
      </w:r>
    </w:p>
    <w:p>
      <w:pPr>
        <w:pStyle w:val="Heading1"/>
      </w:pPr>
      <w:r>
        <w:t>15. Acceptance criteria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ID</w:t>
            </w:r>
          </w:p>
        </w:tc>
        <w:tc>
          <w:tcPr>
            <w:tcW w:type="dxa" w:w="4896"/>
            <w:vAlign w:val="center"/>
          </w:tcPr>
          <w:p>
            <w:r>
              <w:t>Acceptance test</w:t>
            </w:r>
          </w:p>
        </w:tc>
      </w:tr>
      <w:tr>
        <w:tc>
          <w:tcPr>
            <w:tcW w:type="dxa" w:w="4896"/>
            <w:vAlign w:val="center"/>
          </w:tcPr>
          <w:p>
            <w:r>
              <w:t>AC-01</w:t>
            </w:r>
          </w:p>
        </w:tc>
        <w:tc>
          <w:tcPr>
            <w:tcW w:type="dxa" w:w="4896"/>
            <w:vAlign w:val="center"/>
          </w:tcPr>
          <w:p>
            <w:r>
              <w:t>Existing backend endpoints retain current behavior and smoke tests pass.</w:t>
            </w:r>
          </w:p>
        </w:tc>
      </w:tr>
      <w:tr>
        <w:tc>
          <w:tcPr>
            <w:tcW w:type="dxa" w:w="4896"/>
            <w:vAlign w:val="center"/>
          </w:tcPr>
          <w:p>
            <w:r>
              <w:t>AC-02</w:t>
            </w:r>
          </w:p>
        </w:tc>
        <w:tc>
          <w:tcPr>
            <w:tcW w:type="dxa" w:w="4896"/>
            <w:vAlign w:val="center"/>
          </w:tcPr>
          <w:p>
            <w:r>
              <w:t>All six existing endpoints are called through a typed React API client.</w:t>
            </w:r>
          </w:p>
        </w:tc>
      </w:tr>
      <w:tr>
        <w:tc>
          <w:tcPr>
            <w:tcW w:type="dxa" w:w="4896"/>
            <w:vAlign w:val="center"/>
          </w:tcPr>
          <w:p>
            <w:r>
              <w:t>AC-03</w:t>
            </w:r>
          </w:p>
        </w:tc>
        <w:tc>
          <w:tcPr>
            <w:tcW w:type="dxa" w:w="4896"/>
            <w:vAlign w:val="center"/>
          </w:tcPr>
          <w:p>
            <w:r>
              <w:t>Search, parcel history and assessment use real synthetic API responses, not fabricated hardcoded records.</w:t>
            </w:r>
          </w:p>
        </w:tc>
      </w:tr>
      <w:tr>
        <w:tc>
          <w:tcPr>
            <w:tcW w:type="dxa" w:w="4896"/>
            <w:vAlign w:val="center"/>
          </w:tcPr>
          <w:p>
            <w:r>
              <w:t>AC-04</w:t>
            </w:r>
          </w:p>
        </w:tc>
        <w:tc>
          <w:tcPr>
            <w:tcW w:type="dxa" w:w="4896"/>
            <w:vAlign w:val="center"/>
          </w:tcPr>
          <w:p>
            <w:r>
              <w:t>TX-002911-1 insufficient; TX-002911-2 review; TX-002911-3 pending for 2026-10-15.</w:t>
            </w:r>
          </w:p>
        </w:tc>
      </w:tr>
      <w:tr>
        <w:tc>
          <w:tcPr>
            <w:tcW w:type="dxa" w:w="4896"/>
            <w:vAlign w:val="center"/>
          </w:tcPr>
          <w:p>
            <w:r>
              <w:t>AC-05</w:t>
            </w:r>
          </w:p>
        </w:tc>
        <w:tc>
          <w:tcPr>
            <w:tcW w:type="dxa" w:w="4896"/>
            <w:vAlign w:val="center"/>
          </w:tcPr>
          <w:p>
            <w:r>
              <w:t>Anomaly and RF/evidence disagreement are independently visible.</w:t>
            </w:r>
          </w:p>
        </w:tc>
      </w:tr>
      <w:tr>
        <w:tc>
          <w:tcPr>
            <w:tcW w:type="dxa" w:w="4896"/>
            <w:vAlign w:val="center"/>
          </w:tcPr>
          <w:p>
            <w:r>
              <w:t>AC-06</w:t>
            </w:r>
          </w:p>
        </w:tc>
        <w:tc>
          <w:tcPr>
            <w:tcW w:type="dxa" w:w="4896"/>
            <w:vAlign w:val="center"/>
          </w:tcPr>
          <w:p>
            <w:r>
              <w:t>Every assessment carries synthetic disclaimer and actionable evidence details.</w:t>
            </w:r>
          </w:p>
        </w:tc>
      </w:tr>
      <w:tr>
        <w:tc>
          <w:tcPr>
            <w:tcW w:type="dxa" w:w="4896"/>
            <w:vAlign w:val="center"/>
          </w:tcPr>
          <w:p>
            <w:r>
              <w:t>AC-07</w:t>
            </w:r>
          </w:p>
        </w:tc>
        <w:tc>
          <w:tcPr>
            <w:tcW w:type="dxa" w:w="4896"/>
            <w:vAlign w:val="center"/>
          </w:tcPr>
          <w:p>
            <w:r>
              <w:t>Mobile/desktop navigation, MagnificationDock fallback and scroll SVG pass keyboard/reduced-motion checks.</w:t>
            </w:r>
          </w:p>
        </w:tc>
      </w:tr>
      <w:tr>
        <w:tc>
          <w:tcPr>
            <w:tcW w:type="dxa" w:w="4896"/>
            <w:vAlign w:val="center"/>
          </w:tcPr>
          <w:p>
            <w:r>
              <w:t>AC-08</w:t>
            </w:r>
          </w:p>
        </w:tc>
        <w:tc>
          <w:tcPr>
            <w:tcW w:type="dxa" w:w="4896"/>
            <w:vAlign w:val="center"/>
          </w:tcPr>
          <w:p>
            <w:r>
              <w:t>Review mutation and PDF endpoints are either implemented and tested or clearly marked unavailable.</w:t>
            </w:r>
          </w:p>
        </w:tc>
      </w:tr>
      <w:tr>
        <w:tc>
          <w:tcPr>
            <w:tcW w:type="dxa" w:w="4896"/>
            <w:vAlign w:val="center"/>
          </w:tcPr>
          <w:p>
            <w:r>
              <w:t>AC-09</w:t>
            </w:r>
          </w:p>
        </w:tc>
        <w:tc>
          <w:tcPr>
            <w:tcW w:type="dxa" w:w="4896"/>
            <w:vAlign w:val="center"/>
          </w:tcPr>
          <w:p>
            <w:r>
              <w:t>Frontend deployed on Vercel; FastAPI deployed independently over HTTPS and health-tested.</w:t>
            </w:r>
          </w:p>
        </w:tc>
      </w:tr>
      <w:tr>
        <w:tc>
          <w:tcPr>
            <w:tcW w:type="dxa" w:w="4896"/>
            <w:vAlign w:val="center"/>
          </w:tcPr>
          <w:p>
            <w:r>
              <w:t>AC-10</w:t>
            </w:r>
          </w:p>
        </w:tc>
        <w:tc>
          <w:tcPr>
            <w:tcW w:type="dxa" w:w="4896"/>
            <w:vAlign w:val="center"/>
          </w:tcPr>
          <w:p>
            <w:r>
              <w:t>README, .env.example, tests and deployment instructions committed without secrets.</w:t>
            </w:r>
          </w:p>
        </w:tc>
      </w:tr>
    </w:tbl>
    <w:p/>
    <w:p>
      <w:pPr>
        <w:pStyle w:val="Heading1"/>
      </w:pPr>
      <w:r>
        <w:t>16. Antigravity staged implementation prompts</w:t>
      </w:r>
    </w:p>
    <w:p>
      <w:pPr>
        <w:pStyle w:val="Heading2"/>
      </w:pPr>
      <w:r>
        <w:t>Stage 1 — Audit and architecture</w:t>
      </w:r>
    </w:p>
    <w:p>
      <w:r>
        <w:t>Inspect backend, identify model bundle shape and endpoint contracts; create docs/BACKEND_AUDIT.md; run existing tests; do not retrain or overwrite models.</w:t>
      </w:r>
    </w:p>
    <w:p>
      <w:pPr>
        <w:pStyle w:val="Heading2"/>
      </w:pPr>
      <w:r>
        <w:t>Stage 2 — Design system and UI shell</w:t>
      </w:r>
    </w:p>
    <w:p>
      <w:r>
        <w:t>Create visual tokens, responsive navigation, accessible MagnificationDock, scroll-based SVG journey, and real React app routes; no fake data.</w:t>
      </w:r>
    </w:p>
    <w:p>
      <w:pPr>
        <w:pStyle w:val="Heading2"/>
      </w:pPr>
      <w:r>
        <w:t>Stage 3 — API integration</w:t>
      </w:r>
    </w:p>
    <w:p>
      <w:r>
        <w:t>Connect summary, transactions, parcel history and assessment to existing FastAPI; add error/loading/empty states and contract tests.</w:t>
      </w:r>
    </w:p>
    <w:p>
      <w:pPr>
        <w:pStyle w:val="Heading2"/>
      </w:pPr>
      <w:r>
        <w:t>Stage 4 — Review, reports and auth</w:t>
      </w:r>
    </w:p>
    <w:p>
      <w:r>
        <w:t>Implement new persistent review workflow, PDF reporting and authentication only after backend API specification approval; migrate schema safely.</w:t>
      </w:r>
    </w:p>
    <w:p>
      <w:pPr>
        <w:pStyle w:val="Heading2"/>
      </w:pPr>
      <w:r>
        <w:t>Stage 5 — QA and deployment</w:t>
      </w:r>
    </w:p>
    <w:p>
      <w:r>
        <w:t>Run typecheck, tests, accessibility checks and visual QA; deploy the React frontend to Vercel, deploy FastAPI separately to Render/Railway, and verify both live URLs and cross-origin requests. Update README and CI checks.</w:t>
      </w:r>
    </w:p>
    <w:p>
      <w:pPr>
        <w:pStyle w:val="Heading1"/>
      </w:pPr>
      <w:r>
        <w:t>17. Open decisions and implementation risks</w:t>
      </w:r>
    </w:p>
    <w:p>
      <w:pPr>
        <w:pStyle w:val="ListBullet"/>
      </w:pPr>
      <w:r>
        <w:t>Choose whether review workspace remains read-only for the first hackathon demo or requires authenticated persistence.</w:t>
      </w:r>
    </w:p>
    <w:p>
      <w:pPr>
        <w:pStyle w:val="ListBullet"/>
      </w:pPr>
      <w:r>
        <w:t>Decide backend hosting and model artifact distribution before connecting the Vercel frontend; confirm host memory, startup time, persistence and HTTPS availability.</w:t>
      </w:r>
    </w:p>
    <w:p>
      <w:pPr>
        <w:pStyle w:val="ListBullet"/>
      </w:pPr>
      <w:r>
        <w:t>Confirm the supplied MagnificationDock source compiles against the selected Motion version; fix keyboard and focus behavior instead of copying unchanged.</w:t>
      </w:r>
    </w:p>
    <w:p>
      <w:pPr>
        <w:pStyle w:val="ListBullet"/>
      </w:pPr>
      <w:r>
        <w:t>Treat the current as_of_date default (2026-10-15) as a demonstration snapshot; provide an explicit date selector or runtime default with documented semantics.</w:t>
      </w:r>
    </w:p>
    <w:p>
      <w:pPr>
        <w:pStyle w:val="ListBullet"/>
      </w:pPr>
      <w:r>
        <w:t>Resolve the difference between snapshot ownership data and legal transfer chains; never label repeated sale as proven fraud.</w:t>
      </w:r>
    </w:p>
    <w:p>
      <w:pPr>
        <w:pStyle w:val="ListBullet"/>
      </w:pPr>
      <w:r>
        <w:t>Confirm whether repository is public before adding synthetic data/model artifacts, and verify their license and provenance.</w:t>
      </w:r>
    </w:p>
    <w:p>
      <w:pPr>
        <w:pStyle w:val="Title"/>
      </w:pPr>
      <w:r>
        <w:t>18. Vercel Deployment Architecture — Approved Update</w:t>
      </w:r>
    </w:p>
    <w:p>
      <w:r>
        <w:t>Deployment amendment | Version 1.1 | 15 October 2026</w:t>
      </w:r>
    </w:p>
    <w:p>
      <w:pPr>
        <w:pStyle w:val="Heading1"/>
      </w:pPr>
      <w:r>
        <w:t>18.1 Decision and boundaries</w:t>
      </w:r>
    </w:p>
    <w:p>
      <w:r>
        <w:t>Host the React + TypeScript (Vite) frontend on Vercel. Keep the existing FastAPI + Random Forest + Isolation Forest + evidence verification service on a separate Python-capable host such as Render or Railway. Vercel hosting solves frontend deployment, not backend hosting. The two services communicate via HTTPS JSON REST APIs.</w:t>
      </w:r>
    </w:p>
    <w:p>
      <w:r>
        <w:t>GitHub remains the source-control system. Vercel connects to the GitHub repository for preview and production deployments. Backend deploys from the same repository to its own service, with a separate root directory.</w:t>
      </w:r>
    </w:p>
    <w:p>
      <w:pPr>
        <w:pStyle w:val="Heading1"/>
      </w:pPr>
      <w:r>
        <w:t>18.2 Target deployment topology</w:t>
      </w:r>
    </w:p>
    <w:p>
      <w:pPr>
        <w:pStyle w:val="ListBullet"/>
      </w:pPr>
      <w:r>
        <w:t>User browser → https://&lt;vercel-project&gt;.vercel.app (React SPA)</w:t>
      </w:r>
    </w:p>
    <w:p>
      <w:pPr>
        <w:pStyle w:val="ListBullet"/>
      </w:pPr>
      <w:r>
        <w:t>React client → VITE_API_URL=https://&lt;fastapi-service&gt; (HTTPS REST)</w:t>
      </w:r>
    </w:p>
    <w:p>
      <w:pPr>
        <w:pStyle w:val="ListBullet"/>
      </w:pPr>
      <w:r>
        <w:t>FastAPI → backend/data/*.csv and backend/models/*.joblib (server-side only)</w:t>
      </w:r>
    </w:p>
    <w:p>
      <w:pPr>
        <w:pStyle w:val="ListBullet"/>
      </w:pPr>
      <w:r>
        <w:t>GitHub repository → Vercel frontend build + separate Render/Railway backend build</w:t>
      </w:r>
    </w:p>
    <w:p>
      <w:pPr>
        <w:pStyle w:val="Heading1"/>
      </w:pPr>
      <w:r>
        <w:t>18.3 Repository and environment configuration</w:t>
      </w:r>
    </w:p>
    <w:p>
      <w:r>
        <w:t>Repository layout: frontend/ (Vite React application), backend/ (FastAPI app, data, models), docs/ (SRS and audit), tests/, README.md, .gitignore, .env.example. Never commit secrets or personal land records. Decide whether synthetic CSVs and model binaries may be published; otherwise distribute via controlled deployment artifacts.</w:t>
      </w:r>
    </w:p>
    <w:p>
      <w:r>
        <w:t>Vercel project: Framework = Vite; Root Directory = frontend; Build Command = npm run build; Output Directory = dist; install dependencies from lockfile. Set VITE_API_URL to the deployed backend HTTPS origin (no trailing slash). Redeploy after changing a Vite environment variable: VITE_* variables are embedded at build time and are public, so never store secrets in them.</w:t>
      </w:r>
    </w:p>
    <w:p>
      <w:r>
        <w:t>For React Router browser history, add frontend/vercel.json with a rewrite to /index.html, so refreshing /dashboard or /transactions does not return 404. Do not rewrite /assets/* to the SPA when a real asset exists; test deep links. Use base: "/" in vite.config.ts for root-domain deployment.</w:t>
      </w:r>
    </w:p>
    <w:p>
      <w:pPr>
        <w:pStyle w:val="Heading1"/>
      </w:pPr>
      <w:r>
        <w:t>18.4 Example configuration</w:t>
      </w:r>
    </w:p>
    <w:p>
      <w:r>
        <w:rPr>
          <w:b/>
        </w:rPr>
        <w:t>frontend/.env.example</w:t>
        <w:br/>
      </w:r>
      <w:r>
        <w:t>VITE_API_URL=https://your-fastapi-service.example.com</w:t>
      </w:r>
    </w:p>
    <w:p>
      <w:r>
        <w:rPr>
          <w:b/>
        </w:rPr>
        <w:t>frontend/vercel.json</w:t>
        <w:br/>
      </w:r>
      <w:r>
        <w:t>{"rewrites": [{"source": "/(.*)", "destination": "/index.html"}]}</w:t>
      </w:r>
    </w:p>
    <w:p>
      <w:r>
        <w:rPr>
          <w:b/>
        </w:rPr>
        <w:t>Frontend fetch contract</w:t>
        <w:br/>
      </w:r>
      <w:r>
        <w:t>GET ${import.meta.env.VITE_API_URL}/health; GET /dashboard/summary; GET /transactions; GET /transactions/{id}; GET /parcels/{id}/history; GET /assess/{id}</w:t>
      </w:r>
    </w:p>
    <w:p>
      <w:pPr>
        <w:pStyle w:val="Heading1"/>
      </w:pPr>
      <w:r>
        <w:t>18.5 Backend deployment requirements</w:t>
      </w:r>
    </w:p>
    <w:p>
      <w:pPr>
        <w:pStyle w:val="ListBullet"/>
      </w:pPr>
      <w:r>
        <w:t>Use a Python-compatible hosting platform; set backend/ as the service root. Install dependencies from requirements.txt. Start command: uvicorn app.main:app --host 0.0.0.0 --port $PORT (or the host-provided equivalent).</w:t>
      </w:r>
    </w:p>
    <w:p>
      <w:pPr>
        <w:pStyle w:val="ListBullet"/>
      </w:pPr>
      <w:r>
        <w:t>Ship approved synthetic datasets and trusted joblib artifacts to the backend only. Joblib deserialization is unsafe for untrusted files; do not expose model upload endpoints.</w:t>
      </w:r>
    </w:p>
    <w:p>
      <w:pPr>
        <w:pStyle w:val="ListBullet"/>
      </w:pPr>
      <w:r>
        <w:t>Configure CORS with the exact production Vercel origin and any explicitly authorized preview origins; avoid wildcard origins when using credentials.</w:t>
      </w:r>
    </w:p>
    <w:p>
      <w:pPr>
        <w:pStyle w:val="ListBullet"/>
      </w:pPr>
      <w:r>
        <w:t>Expose GET /health and /docs as appropriate; check memory, startup time, timeouts and filesystem availability. A cold start may load both models and CSVs.</w:t>
      </w:r>
    </w:p>
    <w:p>
      <w:pPr>
        <w:pStyle w:val="ListBullet"/>
      </w:pPr>
      <w:r>
        <w:t>Keep assessment read-only until authenticated review actions are implemented. No real land record, NID or sensitive identity data in the demo.</w:t>
      </w:r>
    </w:p>
    <w:p>
      <w:pPr>
        <w:pStyle w:val="Heading1"/>
      </w:pPr>
      <w:r>
        <w:t>18.6 Deployment and verification procedure</w:t>
      </w:r>
    </w:p>
    <w:p>
      <w:pPr>
        <w:pStyle w:val="ListNumber"/>
      </w:pPr>
      <w:r>
        <w:t>Run backend pytest and smoke tests locally; verify model bundle keys, 404/422 handling and assessment precedence.</w:t>
      </w:r>
    </w:p>
    <w:p>
      <w:pPr>
        <w:pStyle w:val="ListNumber"/>
      </w:pPr>
      <w:r>
        <w:t>Run frontend npm ci, npm run build, typecheck/lint/tests; ensure the frontend uses the configured API URL rather than a Colab proxy.</w:t>
      </w:r>
    </w:p>
    <w:p>
      <w:pPr>
        <w:pStyle w:val="ListNumber"/>
      </w:pPr>
      <w:r>
        <w:t>Push tested changes to GitHub using meaningful commits; connect the frontend/ root directory to Vercel and deploy.</w:t>
      </w:r>
    </w:p>
    <w:p>
      <w:pPr>
        <w:pStyle w:val="ListNumber"/>
      </w:pPr>
      <w:r>
        <w:t>Deploy backend/ separately; verify public GET /health returns HTTP 200 before connecting the frontend.</w:t>
      </w:r>
    </w:p>
    <w:p>
      <w:pPr>
        <w:pStyle w:val="ListNumber"/>
      </w:pPr>
      <w:r>
        <w:t>Set VITE_API_URL in Vercel production settings and redeploy; verify dashboard, transaction search, parcel history and assessment over HTTPS.</w:t>
      </w:r>
    </w:p>
    <w:p>
      <w:pPr>
        <w:pStyle w:val="ListNumber"/>
      </w:pPr>
      <w:r>
        <w:t>Refresh a nested frontend route, test mobile/desktop, keyboard, error/empty/loading states and reduced-motion behavior.</w:t>
      </w:r>
    </w:p>
    <w:p>
      <w:pPr>
        <w:pStyle w:val="ListNumber"/>
      </w:pPr>
      <w:r>
        <w:t>Confirm API CORS headers for the deployed frontend origin and inspect browser Network/Console for failures; never claim deployment successful until live checks pass.</w:t>
      </w:r>
    </w:p>
    <w:p>
      <w:pPr>
        <w:pStyle w:val="Heading1"/>
      </w:pPr>
      <w:r>
        <w:t>18.7 GitHub automation, README and acceptance criteria</w:t>
      </w:r>
    </w:p>
    <w:p>
      <w:r>
        <w:t>GitHub Actions CI should test frontend and backend on each pull request. Vercel Git integration handles frontend preview/production deploys; optional GitHub Actions may perform smoke checks after deployment. Maintain README instructions for both local and deployed environments, .env.example, API docs URL, test commands, architecture diagram, model limitations and synthetic-only disclaimer.</w:t>
      </w:r>
    </w:p>
    <w:p>
      <w:r>
        <w:t>Acceptance: (1) Vercel production URL loads the app; (2) nested-route refresh works; (3) frontend calls the independently deployed HTTPS FastAPI service; (4) health and assessment tests pass; (5) no secret is bundled into client JS; (6) only synthetic demo data is served; (7) anomaly or review signals are never represented as legal proof of fraud.</w:t>
      </w:r>
    </w:p>
    <w:p>
      <w:pPr>
        <w:pStyle w:val="Heading1"/>
      </w:pPr>
      <w:r>
        <w:t>18.8 Antigravity implementation instruction — deployment stage</w:t>
      </w:r>
    </w:p>
    <w:p>
      <w:r>
        <w:t>Preserve the trained models and existing working API. Configure Vercel exclusively for frontend/. Add correct SPA rewrites and VITE_API_URL integration. Prepare a separate Render/Railway deployment configuration for backend/. Implement strict origin-based CORS, safe configuration, build/test checks and deployment documentation. Run tests before commits; do not claim a GitHub push or live deployment without terminal and HTTP verification.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LandGuard AI  |  SRS v1.1  |  Synthetic-data demonstration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6B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0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2304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