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01" w:rsidRDefault="00CF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7</w:t>
      </w:r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</w:p>
    <w:p w:rsidR="00CF623E" w:rsidRPr="00CF623E" w:rsidRDefault="00CF623E" w:rsidP="00CF623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F623E">
        <w:rPr>
          <w:rFonts w:ascii="Times New Roman" w:hAnsi="Times New Roman" w:cs="Times New Roman"/>
          <w:sz w:val="28"/>
          <w:szCs w:val="28"/>
          <w:u w:val="single"/>
        </w:rPr>
        <w:t>MongoDB</w:t>
      </w:r>
      <w:proofErr w:type="spellEnd"/>
      <w:r w:rsidRPr="00CF623E">
        <w:rPr>
          <w:rFonts w:ascii="Times New Roman" w:hAnsi="Times New Roman" w:cs="Times New Roman"/>
          <w:sz w:val="28"/>
          <w:szCs w:val="28"/>
          <w:u w:val="single"/>
        </w:rPr>
        <w:t xml:space="preserve"> Vulnerabilities Classified with </w:t>
      </w:r>
      <w:proofErr w:type="spellStart"/>
      <w:r w:rsidRPr="00CF623E">
        <w:rPr>
          <w:rFonts w:ascii="Times New Roman" w:hAnsi="Times New Roman" w:cs="Times New Roman"/>
          <w:sz w:val="28"/>
          <w:szCs w:val="28"/>
          <w:u w:val="single"/>
        </w:rPr>
        <w:t>Stanform</w:t>
      </w:r>
      <w:proofErr w:type="spellEnd"/>
      <w:r w:rsidRPr="00CF623E">
        <w:rPr>
          <w:rFonts w:ascii="Times New Roman" w:hAnsi="Times New Roman" w:cs="Times New Roman"/>
          <w:sz w:val="28"/>
          <w:szCs w:val="28"/>
          <w:u w:val="single"/>
        </w:rPr>
        <w:t xml:space="preserve"> Risk Classifications</w:t>
      </w:r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CVE ID: </w:t>
      </w:r>
      <w:r w:rsidRPr="00CF623E">
        <w:rPr>
          <w:rFonts w:ascii="Times New Roman" w:hAnsi="Times New Roman" w:cs="Times New Roman"/>
          <w:sz w:val="24"/>
          <w:szCs w:val="24"/>
        </w:rPr>
        <w:t>CVE-2021-20333</w:t>
      </w:r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published: </w:t>
      </w:r>
      <w:r w:rsidRPr="00CF623E">
        <w:rPr>
          <w:rFonts w:ascii="Times New Roman" w:hAnsi="Times New Roman" w:cs="Times New Roman"/>
          <w:sz w:val="24"/>
          <w:szCs w:val="24"/>
        </w:rPr>
        <w:t>2021-07-23</w:t>
      </w:r>
    </w:p>
    <w:p w:rsidR="00F56B8C" w:rsidRDefault="00CF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Classification: Low Data Risk </w:t>
      </w:r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CF623E">
        <w:rPr>
          <w:rFonts w:ascii="Times New Roman" w:hAnsi="Times New Roman" w:cs="Times New Roman"/>
          <w:sz w:val="24"/>
          <w:szCs w:val="24"/>
        </w:rPr>
        <w:t xml:space="preserve">Sending specially crafted commands to a </w:t>
      </w:r>
      <w:proofErr w:type="spellStart"/>
      <w:r w:rsidRPr="00CF623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F623E">
        <w:rPr>
          <w:rFonts w:ascii="Times New Roman" w:hAnsi="Times New Roman" w:cs="Times New Roman"/>
          <w:sz w:val="24"/>
          <w:szCs w:val="24"/>
        </w:rPr>
        <w:t xml:space="preserve"> Server may result in artificial log entries being generated or for log entries to be split.</w:t>
      </w:r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</w:p>
    <w:p w:rsidR="00CF623E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CVE ID:</w:t>
      </w:r>
      <w:r w:rsidR="00F56B8C">
        <w:rPr>
          <w:rFonts w:ascii="Times New Roman" w:hAnsi="Times New Roman" w:cs="Times New Roman"/>
          <w:sz w:val="24"/>
          <w:szCs w:val="24"/>
        </w:rPr>
        <w:t xml:space="preserve"> </w:t>
      </w:r>
      <w:r w:rsidR="00F56B8C" w:rsidRPr="00F56B8C">
        <w:rPr>
          <w:rFonts w:ascii="Times New Roman" w:hAnsi="Times New Roman" w:cs="Times New Roman"/>
          <w:sz w:val="24"/>
          <w:szCs w:val="24"/>
        </w:rPr>
        <w:t>CVE-2021-20326</w:t>
      </w:r>
    </w:p>
    <w:p w:rsidR="00CF623E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Date published:</w:t>
      </w:r>
      <w:r w:rsidR="00F56B8C">
        <w:rPr>
          <w:rFonts w:ascii="Times New Roman" w:hAnsi="Times New Roman" w:cs="Times New Roman"/>
          <w:sz w:val="24"/>
          <w:szCs w:val="24"/>
        </w:rPr>
        <w:t xml:space="preserve"> </w:t>
      </w:r>
      <w:r w:rsidR="00F56B8C" w:rsidRPr="00F56B8C">
        <w:rPr>
          <w:rFonts w:ascii="Times New Roman" w:hAnsi="Times New Roman" w:cs="Times New Roman"/>
          <w:sz w:val="24"/>
          <w:szCs w:val="24"/>
        </w:rPr>
        <w:t>2021-04-30</w:t>
      </w:r>
    </w:p>
    <w:p w:rsidR="00CF623E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CF623E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Description:</w:t>
      </w:r>
      <w:r w:rsidR="00F56B8C">
        <w:rPr>
          <w:rFonts w:ascii="Times New Roman" w:hAnsi="Times New Roman" w:cs="Times New Roman"/>
          <w:sz w:val="24"/>
          <w:szCs w:val="24"/>
        </w:rPr>
        <w:t xml:space="preserve"> </w:t>
      </w:r>
      <w:r w:rsidR="00F56B8C" w:rsidRPr="00F56B8C">
        <w:rPr>
          <w:rFonts w:ascii="Times New Roman" w:hAnsi="Times New Roman" w:cs="Times New Roman"/>
          <w:sz w:val="24"/>
          <w:szCs w:val="24"/>
        </w:rPr>
        <w:t>A user authorized to performing a specific type of find query may trigger a denial of service.</w:t>
      </w:r>
    </w:p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</w:p>
    <w:p w:rsidR="00CF623E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CVE ID:</w:t>
      </w:r>
      <w:r w:rsidR="00F56B8C">
        <w:rPr>
          <w:rFonts w:ascii="Times New Roman" w:hAnsi="Times New Roman" w:cs="Times New Roman"/>
          <w:sz w:val="24"/>
          <w:szCs w:val="24"/>
        </w:rPr>
        <w:t xml:space="preserve"> </w:t>
      </w:r>
      <w:r w:rsidR="00504791" w:rsidRPr="00504791">
        <w:rPr>
          <w:rFonts w:ascii="Times New Roman" w:hAnsi="Times New Roman" w:cs="Times New Roman"/>
          <w:sz w:val="24"/>
          <w:szCs w:val="24"/>
        </w:rPr>
        <w:t>CVE-2020-7929</w:t>
      </w:r>
    </w:p>
    <w:p w:rsidR="00CF623E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Date published:</w:t>
      </w:r>
      <w:r w:rsidR="00504791">
        <w:rPr>
          <w:rFonts w:ascii="Times New Roman" w:hAnsi="Times New Roman" w:cs="Times New Roman"/>
          <w:sz w:val="24"/>
          <w:szCs w:val="24"/>
        </w:rPr>
        <w:t xml:space="preserve"> </w:t>
      </w:r>
      <w:r w:rsidR="00504791" w:rsidRPr="00504791">
        <w:rPr>
          <w:rFonts w:ascii="Times New Roman" w:hAnsi="Times New Roman" w:cs="Times New Roman"/>
          <w:sz w:val="24"/>
          <w:szCs w:val="24"/>
        </w:rPr>
        <w:t>2021-03-01</w:t>
      </w:r>
    </w:p>
    <w:p w:rsidR="00CF623E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30747C" w:rsidRPr="00CF623E" w:rsidRDefault="00CF623E" w:rsidP="00CF623E">
      <w:pPr>
        <w:rPr>
          <w:rFonts w:ascii="Times New Roman" w:hAnsi="Times New Roman" w:cs="Times New Roman"/>
          <w:sz w:val="24"/>
          <w:szCs w:val="24"/>
        </w:rPr>
      </w:pPr>
      <w:r w:rsidRPr="00CF623E">
        <w:rPr>
          <w:rFonts w:ascii="Times New Roman" w:hAnsi="Times New Roman" w:cs="Times New Roman"/>
          <w:sz w:val="24"/>
          <w:szCs w:val="24"/>
        </w:rPr>
        <w:t>Description:</w:t>
      </w:r>
      <w:r w:rsidR="0030747C">
        <w:rPr>
          <w:rFonts w:ascii="Times New Roman" w:hAnsi="Times New Roman" w:cs="Times New Roman"/>
          <w:sz w:val="24"/>
          <w:szCs w:val="24"/>
        </w:rPr>
        <w:t xml:space="preserve"> </w:t>
      </w:r>
      <w:r w:rsidR="0030747C" w:rsidRPr="0030747C">
        <w:rPr>
          <w:rFonts w:ascii="Times New Roman" w:hAnsi="Times New Roman" w:cs="Times New Roman"/>
          <w:sz w:val="24"/>
          <w:szCs w:val="24"/>
        </w:rPr>
        <w:t xml:space="preserve">A user authorized to perform database queries may trigger denial of service by issuing specially crafted query contain a type of </w:t>
      </w:r>
      <w:proofErr w:type="spellStart"/>
      <w:r w:rsidR="0030747C" w:rsidRPr="0030747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747C" w:rsidRPr="0030747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0747C" w:rsidRPr="0030747C" w:rsidTr="0030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747C" w:rsidRPr="0030747C" w:rsidRDefault="0030747C" w:rsidP="00307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23E" w:rsidRDefault="00CF623E">
      <w:pPr>
        <w:rPr>
          <w:rFonts w:ascii="Times New Roman" w:hAnsi="Times New Roman" w:cs="Times New Roman"/>
          <w:sz w:val="24"/>
          <w:szCs w:val="24"/>
        </w:rPr>
      </w:pP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 xml:space="preserve">CVE ID: </w:t>
      </w:r>
      <w:r w:rsidR="0030747C">
        <w:rPr>
          <w:rFonts w:ascii="Times New Roman" w:hAnsi="Times New Roman" w:cs="Times New Roman"/>
          <w:sz w:val="24"/>
          <w:szCs w:val="24"/>
        </w:rPr>
        <w:t>CVE-2020-7928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Date published:</w:t>
      </w:r>
      <w:r w:rsidR="0030747C">
        <w:rPr>
          <w:rFonts w:ascii="Times New Roman" w:hAnsi="Times New Roman" w:cs="Times New Roman"/>
          <w:sz w:val="24"/>
          <w:szCs w:val="24"/>
        </w:rPr>
        <w:t xml:space="preserve"> 2020-11-23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Risk Classification:</w:t>
      </w:r>
      <w:r w:rsidR="0030747C">
        <w:rPr>
          <w:rFonts w:ascii="Times New Roman" w:hAnsi="Times New Roman" w:cs="Times New Roman"/>
          <w:sz w:val="24"/>
          <w:szCs w:val="24"/>
        </w:rPr>
        <w:t xml:space="preserve"> </w:t>
      </w:r>
      <w:r w:rsidR="00637019">
        <w:rPr>
          <w:rFonts w:ascii="Times New Roman" w:hAnsi="Times New Roman" w:cs="Times New Roman"/>
          <w:sz w:val="24"/>
          <w:szCs w:val="24"/>
        </w:rPr>
        <w:t>Moderate Data Risk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lastRenderedPageBreak/>
        <w:t>Description:</w:t>
      </w:r>
      <w:r w:rsidR="0030747C">
        <w:rPr>
          <w:rFonts w:ascii="Times New Roman" w:hAnsi="Times New Roman" w:cs="Times New Roman"/>
          <w:sz w:val="24"/>
          <w:szCs w:val="24"/>
        </w:rPr>
        <w:t xml:space="preserve"> </w:t>
      </w:r>
      <w:r w:rsidR="0030747C" w:rsidRPr="0030747C">
        <w:rPr>
          <w:rFonts w:ascii="Times New Roman" w:hAnsi="Times New Roman" w:cs="Times New Roman"/>
          <w:sz w:val="24"/>
          <w:szCs w:val="24"/>
        </w:rPr>
        <w:t>A user authorized to perform database queries may trigger a read overrun and access arbitrary memory by issuing specially crafted queries.</w:t>
      </w:r>
    </w:p>
    <w:p w:rsidR="00F56B8C" w:rsidRDefault="00F56B8C">
      <w:pPr>
        <w:rPr>
          <w:rFonts w:ascii="Times New Roman" w:hAnsi="Times New Roman" w:cs="Times New Roman"/>
          <w:sz w:val="24"/>
          <w:szCs w:val="24"/>
        </w:rPr>
      </w:pP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 xml:space="preserve">CVE ID: </w:t>
      </w:r>
      <w:r w:rsidR="0030747C">
        <w:rPr>
          <w:rFonts w:ascii="Times New Roman" w:hAnsi="Times New Roman" w:cs="Times New Roman"/>
          <w:sz w:val="24"/>
          <w:szCs w:val="24"/>
        </w:rPr>
        <w:t>CVE-2020-7926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Date published:</w:t>
      </w:r>
      <w:r w:rsidR="0030747C">
        <w:rPr>
          <w:rFonts w:ascii="Times New Roman" w:hAnsi="Times New Roman" w:cs="Times New Roman"/>
          <w:sz w:val="24"/>
          <w:szCs w:val="24"/>
        </w:rPr>
        <w:t xml:space="preserve"> 2020-11-23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Description:</w:t>
      </w:r>
      <w:r w:rsidR="0030747C">
        <w:rPr>
          <w:rFonts w:ascii="Times New Roman" w:hAnsi="Times New Roman" w:cs="Times New Roman"/>
          <w:sz w:val="24"/>
          <w:szCs w:val="24"/>
        </w:rPr>
        <w:t xml:space="preserve"> </w:t>
      </w:r>
      <w:r w:rsidR="0030747C" w:rsidRPr="0030747C">
        <w:rPr>
          <w:rFonts w:ascii="Times New Roman" w:hAnsi="Times New Roman" w:cs="Times New Roman"/>
          <w:sz w:val="24"/>
          <w:szCs w:val="24"/>
        </w:rPr>
        <w:t>A user authorized to perform database queries may cause denial of service by issuing a specially crafted query which violates an invariant in the server selection subsystem.</w:t>
      </w:r>
    </w:p>
    <w:p w:rsidR="00F56B8C" w:rsidRDefault="00F56B8C">
      <w:pPr>
        <w:rPr>
          <w:rFonts w:ascii="Times New Roman" w:hAnsi="Times New Roman" w:cs="Times New Roman"/>
          <w:sz w:val="24"/>
          <w:szCs w:val="24"/>
        </w:rPr>
      </w:pP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 xml:space="preserve">CVE ID: </w:t>
      </w:r>
      <w:r w:rsidR="00FA165D">
        <w:rPr>
          <w:rFonts w:ascii="Times New Roman" w:hAnsi="Times New Roman" w:cs="Times New Roman"/>
          <w:sz w:val="24"/>
          <w:szCs w:val="24"/>
        </w:rPr>
        <w:t>CVE-2020-7925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Date published:</w:t>
      </w:r>
      <w:r w:rsidR="00FA165D">
        <w:rPr>
          <w:rFonts w:ascii="Times New Roman" w:hAnsi="Times New Roman" w:cs="Times New Roman"/>
          <w:sz w:val="24"/>
          <w:szCs w:val="24"/>
        </w:rPr>
        <w:t xml:space="preserve"> 2020-11-23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Risk/Moderate Data Risk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Description:</w:t>
      </w:r>
      <w:r w:rsidR="00FA165D">
        <w:rPr>
          <w:rFonts w:ascii="Times New Roman" w:hAnsi="Times New Roman" w:cs="Times New Roman"/>
          <w:sz w:val="24"/>
          <w:szCs w:val="24"/>
        </w:rPr>
        <w:t xml:space="preserve"> </w:t>
      </w:r>
      <w:r w:rsidR="00FA165D" w:rsidRPr="00FA165D">
        <w:rPr>
          <w:rFonts w:ascii="Times New Roman" w:hAnsi="Times New Roman" w:cs="Times New Roman"/>
          <w:sz w:val="24"/>
          <w:szCs w:val="24"/>
        </w:rPr>
        <w:t>Incorrect validation of user input in the role name parser may lead to use of uninitialized memory allowing an unauthenticated attacker to use a specially crafted reques</w:t>
      </w:r>
      <w:r w:rsidR="00FA165D">
        <w:rPr>
          <w:rFonts w:ascii="Times New Roman" w:hAnsi="Times New Roman" w:cs="Times New Roman"/>
          <w:sz w:val="24"/>
          <w:szCs w:val="24"/>
        </w:rPr>
        <w:t>t to cause a denial of service.</w:t>
      </w:r>
    </w:p>
    <w:p w:rsidR="00F56B8C" w:rsidRDefault="00F56B8C">
      <w:pPr>
        <w:rPr>
          <w:rFonts w:ascii="Times New Roman" w:hAnsi="Times New Roman" w:cs="Times New Roman"/>
          <w:sz w:val="24"/>
          <w:szCs w:val="24"/>
        </w:rPr>
      </w:pP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 xml:space="preserve">CVE ID: </w:t>
      </w:r>
      <w:r w:rsidR="00FA165D">
        <w:rPr>
          <w:rFonts w:ascii="Times New Roman" w:hAnsi="Times New Roman" w:cs="Times New Roman"/>
          <w:sz w:val="24"/>
          <w:szCs w:val="24"/>
        </w:rPr>
        <w:t>CVE-2020-7923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Date published:</w:t>
      </w:r>
      <w:r w:rsidR="00FA165D">
        <w:rPr>
          <w:rFonts w:ascii="Times New Roman" w:hAnsi="Times New Roman" w:cs="Times New Roman"/>
          <w:sz w:val="24"/>
          <w:szCs w:val="24"/>
        </w:rPr>
        <w:t xml:space="preserve"> 2020-08-21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Description:</w:t>
      </w:r>
      <w:r w:rsidR="00FA165D">
        <w:rPr>
          <w:rFonts w:ascii="Times New Roman" w:hAnsi="Times New Roman" w:cs="Times New Roman"/>
          <w:sz w:val="24"/>
          <w:szCs w:val="24"/>
        </w:rPr>
        <w:t xml:space="preserve"> </w:t>
      </w:r>
      <w:r w:rsidR="00FA165D" w:rsidRPr="00FA165D">
        <w:rPr>
          <w:rFonts w:ascii="Times New Roman" w:hAnsi="Times New Roman" w:cs="Times New Roman"/>
          <w:sz w:val="24"/>
          <w:szCs w:val="24"/>
        </w:rPr>
        <w:t xml:space="preserve">A user authorized to perform database queries may cause denial of service by issuing specially crafted queries, which violate an invariant in the query subsystem's support for </w:t>
      </w:r>
      <w:proofErr w:type="spellStart"/>
      <w:r w:rsidR="00FA165D" w:rsidRPr="00FA165D">
        <w:rPr>
          <w:rFonts w:ascii="Times New Roman" w:hAnsi="Times New Roman" w:cs="Times New Roman"/>
          <w:sz w:val="24"/>
          <w:szCs w:val="24"/>
        </w:rPr>
        <w:t>geoNear</w:t>
      </w:r>
      <w:proofErr w:type="spellEnd"/>
      <w:r w:rsidR="00FA165D" w:rsidRPr="00FA165D">
        <w:rPr>
          <w:rFonts w:ascii="Times New Roman" w:hAnsi="Times New Roman" w:cs="Times New Roman"/>
          <w:sz w:val="24"/>
          <w:szCs w:val="24"/>
        </w:rPr>
        <w:t>.</w:t>
      </w:r>
    </w:p>
    <w:p w:rsidR="00F56B8C" w:rsidRDefault="00F56B8C">
      <w:pPr>
        <w:rPr>
          <w:rFonts w:ascii="Times New Roman" w:hAnsi="Times New Roman" w:cs="Times New Roman"/>
          <w:sz w:val="24"/>
          <w:szCs w:val="24"/>
        </w:rPr>
      </w:pP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 xml:space="preserve">CVE ID: </w:t>
      </w:r>
      <w:r w:rsidR="00FA165D">
        <w:rPr>
          <w:rFonts w:ascii="Times New Roman" w:hAnsi="Times New Roman" w:cs="Times New Roman"/>
          <w:sz w:val="24"/>
          <w:szCs w:val="24"/>
        </w:rPr>
        <w:t>CVE-2020-7921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Date published:</w:t>
      </w:r>
      <w:r w:rsidR="00FA165D">
        <w:rPr>
          <w:rFonts w:ascii="Times New Roman" w:hAnsi="Times New Roman" w:cs="Times New Roman"/>
          <w:sz w:val="24"/>
          <w:szCs w:val="24"/>
        </w:rPr>
        <w:t xml:space="preserve"> 2020-05-06</w:t>
      </w:r>
    </w:p>
    <w:p w:rsidR="00F56B8C" w:rsidRP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High Data Risk</w:t>
      </w:r>
    </w:p>
    <w:p w:rsidR="00F56B8C" w:rsidRDefault="00F56B8C" w:rsidP="00F56B8C">
      <w:pPr>
        <w:rPr>
          <w:rFonts w:ascii="Times New Roman" w:hAnsi="Times New Roman" w:cs="Times New Roman"/>
          <w:sz w:val="24"/>
          <w:szCs w:val="24"/>
        </w:rPr>
      </w:pPr>
      <w:r w:rsidRPr="00F56B8C">
        <w:rPr>
          <w:rFonts w:ascii="Times New Roman" w:hAnsi="Times New Roman" w:cs="Times New Roman"/>
          <w:sz w:val="24"/>
          <w:szCs w:val="24"/>
        </w:rPr>
        <w:lastRenderedPageBreak/>
        <w:t>Description:</w:t>
      </w:r>
      <w:r w:rsidR="00FA165D">
        <w:rPr>
          <w:rFonts w:ascii="Times New Roman" w:hAnsi="Times New Roman" w:cs="Times New Roman"/>
          <w:sz w:val="24"/>
          <w:szCs w:val="24"/>
        </w:rPr>
        <w:t xml:space="preserve"> I</w:t>
      </w:r>
      <w:r w:rsidR="00FA165D" w:rsidRPr="00FA165D">
        <w:rPr>
          <w:rFonts w:ascii="Times New Roman" w:hAnsi="Times New Roman" w:cs="Times New Roman"/>
          <w:sz w:val="24"/>
          <w:szCs w:val="24"/>
        </w:rPr>
        <w:t xml:space="preserve">mproper serialization of internal state in the authorization subsystem in </w:t>
      </w:r>
      <w:proofErr w:type="spellStart"/>
      <w:r w:rsidR="00FA165D" w:rsidRPr="00FA165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FA165D" w:rsidRPr="00FA165D">
        <w:rPr>
          <w:rFonts w:ascii="Times New Roman" w:hAnsi="Times New Roman" w:cs="Times New Roman"/>
          <w:sz w:val="24"/>
          <w:szCs w:val="24"/>
        </w:rPr>
        <w:t xml:space="preserve"> Server's authorization subsystem permits a user with valid credentials to bypass IP </w:t>
      </w:r>
      <w:proofErr w:type="spellStart"/>
      <w:r w:rsidR="00FA165D" w:rsidRPr="00FA165D">
        <w:rPr>
          <w:rFonts w:ascii="Times New Roman" w:hAnsi="Times New Roman" w:cs="Times New Roman"/>
          <w:sz w:val="24"/>
          <w:szCs w:val="24"/>
        </w:rPr>
        <w:t>whitelisting</w:t>
      </w:r>
      <w:proofErr w:type="spellEnd"/>
      <w:r w:rsidR="00FA165D" w:rsidRPr="00FA165D">
        <w:rPr>
          <w:rFonts w:ascii="Times New Roman" w:hAnsi="Times New Roman" w:cs="Times New Roman"/>
          <w:sz w:val="24"/>
          <w:szCs w:val="24"/>
        </w:rPr>
        <w:t xml:space="preserve"> protection mechanisms following administrative action.</w:t>
      </w:r>
    </w:p>
    <w:p w:rsidR="00FA165D" w:rsidRPr="00F56B8C" w:rsidRDefault="00FA165D" w:rsidP="00F56B8C">
      <w:pPr>
        <w:rPr>
          <w:rFonts w:ascii="Times New Roman" w:hAnsi="Times New Roman" w:cs="Times New Roman"/>
          <w:sz w:val="24"/>
          <w:szCs w:val="24"/>
        </w:rPr>
      </w:pP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CVE ID: CVE-2019-20925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Date published: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65D">
        <w:rPr>
          <w:rFonts w:ascii="Times New Roman" w:hAnsi="Times New Roman" w:cs="Times New Roman"/>
          <w:sz w:val="24"/>
          <w:szCs w:val="24"/>
        </w:rPr>
        <w:t>2020-11-24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Moderate Data Risk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65D">
        <w:rPr>
          <w:rFonts w:ascii="Times New Roman" w:hAnsi="Times New Roman" w:cs="Times New Roman"/>
          <w:sz w:val="24"/>
          <w:szCs w:val="24"/>
        </w:rPr>
        <w:t xml:space="preserve">An unauthenticated client can trigger denial of service by issuing specially crafted wire protocol messages, which cause the message </w:t>
      </w:r>
      <w:proofErr w:type="spellStart"/>
      <w:r w:rsidRPr="00FA165D">
        <w:rPr>
          <w:rFonts w:ascii="Times New Roman" w:hAnsi="Times New Roman" w:cs="Times New Roman"/>
          <w:sz w:val="24"/>
          <w:szCs w:val="24"/>
        </w:rPr>
        <w:t>decompressor</w:t>
      </w:r>
      <w:proofErr w:type="spellEnd"/>
      <w:r w:rsidRPr="00FA165D">
        <w:rPr>
          <w:rFonts w:ascii="Times New Roman" w:hAnsi="Times New Roman" w:cs="Times New Roman"/>
          <w:sz w:val="24"/>
          <w:szCs w:val="24"/>
        </w:rPr>
        <w:t xml:space="preserve"> to incorrectly allocate memory.</w:t>
      </w:r>
    </w:p>
    <w:p w:rsidR="00F56B8C" w:rsidRDefault="00F56B8C">
      <w:pPr>
        <w:rPr>
          <w:rFonts w:ascii="Times New Roman" w:hAnsi="Times New Roman" w:cs="Times New Roman"/>
          <w:sz w:val="24"/>
          <w:szCs w:val="24"/>
        </w:rPr>
      </w:pP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CVE ID: CVE-2019-20924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Date published: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65D">
        <w:rPr>
          <w:rFonts w:ascii="Times New Roman" w:hAnsi="Times New Roman" w:cs="Times New Roman"/>
          <w:sz w:val="24"/>
          <w:szCs w:val="24"/>
        </w:rPr>
        <w:t>2020-11-23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65D">
        <w:rPr>
          <w:rFonts w:ascii="Times New Roman" w:hAnsi="Times New Roman" w:cs="Times New Roman"/>
          <w:sz w:val="24"/>
          <w:szCs w:val="24"/>
        </w:rPr>
        <w:t xml:space="preserve">A user authorized to perform database queries may trigger denial of service by issuing specially crafted queries which trigger an invariant in the </w:t>
      </w:r>
      <w:proofErr w:type="spellStart"/>
      <w:r w:rsidRPr="00FA165D">
        <w:rPr>
          <w:rFonts w:ascii="Times New Roman" w:hAnsi="Times New Roman" w:cs="Times New Roman"/>
          <w:sz w:val="24"/>
          <w:szCs w:val="24"/>
        </w:rPr>
        <w:t>IndexBoundsBuilder</w:t>
      </w:r>
      <w:proofErr w:type="spellEnd"/>
      <w:r w:rsidRPr="00FA165D">
        <w:rPr>
          <w:rFonts w:ascii="Times New Roman" w:hAnsi="Times New Roman" w:cs="Times New Roman"/>
          <w:sz w:val="24"/>
          <w:szCs w:val="24"/>
        </w:rPr>
        <w:t>.</w:t>
      </w:r>
    </w:p>
    <w:p w:rsidR="00FA165D" w:rsidRDefault="00FA165D">
      <w:pPr>
        <w:rPr>
          <w:rFonts w:ascii="Times New Roman" w:hAnsi="Times New Roman" w:cs="Times New Roman"/>
          <w:sz w:val="24"/>
          <w:szCs w:val="24"/>
        </w:rPr>
      </w:pP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CVE ID: CVE-2019-20923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Date published: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65D">
        <w:rPr>
          <w:rFonts w:ascii="Times New Roman" w:hAnsi="Times New Roman" w:cs="Times New Roman"/>
          <w:sz w:val="24"/>
          <w:szCs w:val="24"/>
        </w:rPr>
        <w:t>2020-11-23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65D">
        <w:rPr>
          <w:rFonts w:ascii="Times New Roman" w:hAnsi="Times New Roman" w:cs="Times New Roman"/>
          <w:sz w:val="24"/>
          <w:szCs w:val="24"/>
        </w:rPr>
        <w:t xml:space="preserve">A user authorized to perform database queries may trigger denial of service by issuing specially crafted queries, which throw unhandled </w:t>
      </w:r>
      <w:proofErr w:type="spellStart"/>
      <w:r w:rsidRPr="00FA165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A165D">
        <w:rPr>
          <w:rFonts w:ascii="Times New Roman" w:hAnsi="Times New Roman" w:cs="Times New Roman"/>
          <w:sz w:val="24"/>
          <w:szCs w:val="24"/>
        </w:rPr>
        <w:t xml:space="preserve"> exceptions containing types intended to be scoped to the </w:t>
      </w:r>
      <w:proofErr w:type="spellStart"/>
      <w:r w:rsidRPr="00FA165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A165D">
        <w:rPr>
          <w:rFonts w:ascii="Times New Roman" w:hAnsi="Times New Roman" w:cs="Times New Roman"/>
          <w:sz w:val="24"/>
          <w:szCs w:val="24"/>
        </w:rPr>
        <w:t xml:space="preserve"> engine's internals.</w:t>
      </w:r>
    </w:p>
    <w:p w:rsidR="00FA165D" w:rsidRDefault="00FA165D">
      <w:pPr>
        <w:rPr>
          <w:rFonts w:ascii="Times New Roman" w:hAnsi="Times New Roman" w:cs="Times New Roman"/>
          <w:sz w:val="24"/>
          <w:szCs w:val="24"/>
        </w:rPr>
      </w:pP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 xml:space="preserve">CVE ID: </w:t>
      </w:r>
      <w:r w:rsidR="00D21CDF" w:rsidRPr="00D21CDF">
        <w:rPr>
          <w:rFonts w:ascii="Times New Roman" w:hAnsi="Times New Roman" w:cs="Times New Roman"/>
          <w:sz w:val="24"/>
          <w:szCs w:val="24"/>
        </w:rPr>
        <w:t>CVE-2019-2393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Date published:</w:t>
      </w:r>
      <w:r w:rsidR="00550B58">
        <w:rPr>
          <w:rFonts w:ascii="Times New Roman" w:hAnsi="Times New Roman" w:cs="Times New Roman"/>
          <w:sz w:val="24"/>
          <w:szCs w:val="24"/>
        </w:rPr>
        <w:t xml:space="preserve"> </w:t>
      </w:r>
      <w:r w:rsidR="00550B58" w:rsidRPr="00550B58">
        <w:rPr>
          <w:rFonts w:ascii="Times New Roman" w:hAnsi="Times New Roman" w:cs="Times New Roman"/>
          <w:sz w:val="24"/>
          <w:szCs w:val="24"/>
        </w:rPr>
        <w:t>2020-11-23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Description:</w:t>
      </w:r>
      <w:r w:rsidR="00550B58">
        <w:rPr>
          <w:rFonts w:ascii="Times New Roman" w:hAnsi="Times New Roman" w:cs="Times New Roman"/>
          <w:sz w:val="24"/>
          <w:szCs w:val="24"/>
        </w:rPr>
        <w:t xml:space="preserve"> </w:t>
      </w:r>
      <w:r w:rsidR="00550B58" w:rsidRPr="00550B58">
        <w:rPr>
          <w:rFonts w:ascii="Times New Roman" w:hAnsi="Times New Roman" w:cs="Times New Roman"/>
          <w:sz w:val="24"/>
          <w:szCs w:val="24"/>
        </w:rPr>
        <w:t>A user authorized to perform database queries may trigger denial of service by issuing specially crafted queries, which use $lookup and collations.</w:t>
      </w:r>
    </w:p>
    <w:p w:rsidR="00FA165D" w:rsidRDefault="00FA165D">
      <w:pPr>
        <w:rPr>
          <w:rFonts w:ascii="Times New Roman" w:hAnsi="Times New Roman" w:cs="Times New Roman"/>
          <w:sz w:val="24"/>
          <w:szCs w:val="24"/>
        </w:rPr>
      </w:pP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 xml:space="preserve">CVE ID: </w:t>
      </w:r>
      <w:r w:rsidR="00095F05" w:rsidRPr="00095F05">
        <w:rPr>
          <w:rFonts w:ascii="Times New Roman" w:hAnsi="Times New Roman" w:cs="Times New Roman"/>
          <w:sz w:val="24"/>
          <w:szCs w:val="24"/>
        </w:rPr>
        <w:t>CVE-2019-2392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Date published:</w:t>
      </w:r>
      <w:r w:rsidR="00095F05">
        <w:rPr>
          <w:rFonts w:ascii="Times New Roman" w:hAnsi="Times New Roman" w:cs="Times New Roman"/>
          <w:sz w:val="24"/>
          <w:szCs w:val="24"/>
        </w:rPr>
        <w:t xml:space="preserve"> </w:t>
      </w:r>
      <w:r w:rsidR="00095F05" w:rsidRPr="00095F05">
        <w:rPr>
          <w:rFonts w:ascii="Times New Roman" w:hAnsi="Times New Roman" w:cs="Times New Roman"/>
          <w:sz w:val="24"/>
          <w:szCs w:val="24"/>
        </w:rPr>
        <w:t>2020-11-23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Low Data Risk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Description:</w:t>
      </w:r>
      <w:r w:rsidR="00095F05">
        <w:rPr>
          <w:rFonts w:ascii="Times New Roman" w:hAnsi="Times New Roman" w:cs="Times New Roman"/>
          <w:sz w:val="24"/>
          <w:szCs w:val="24"/>
        </w:rPr>
        <w:t xml:space="preserve"> </w:t>
      </w:r>
      <w:r w:rsidR="00095F05" w:rsidRPr="00095F05">
        <w:rPr>
          <w:rFonts w:ascii="Times New Roman" w:hAnsi="Times New Roman" w:cs="Times New Roman"/>
          <w:sz w:val="24"/>
          <w:szCs w:val="24"/>
        </w:rPr>
        <w:t>A user authorized to perform database queries may trigger denial of service by issuing specially crafted queries, which use the $mod operator to overflow negative values.</w:t>
      </w:r>
    </w:p>
    <w:p w:rsidR="00FA165D" w:rsidRDefault="00FA165D">
      <w:pPr>
        <w:rPr>
          <w:rFonts w:ascii="Times New Roman" w:hAnsi="Times New Roman" w:cs="Times New Roman"/>
          <w:sz w:val="24"/>
          <w:szCs w:val="24"/>
        </w:rPr>
      </w:pP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 xml:space="preserve">CVE ID: </w:t>
      </w:r>
      <w:r w:rsidR="00095F05" w:rsidRPr="00095F05">
        <w:rPr>
          <w:rFonts w:ascii="Times New Roman" w:hAnsi="Times New Roman" w:cs="Times New Roman"/>
          <w:sz w:val="24"/>
          <w:szCs w:val="24"/>
        </w:rPr>
        <w:t>CVE-2019-2389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Date published:</w:t>
      </w:r>
      <w:r w:rsidR="00A21534">
        <w:rPr>
          <w:rFonts w:ascii="Times New Roman" w:hAnsi="Times New Roman" w:cs="Times New Roman"/>
          <w:sz w:val="24"/>
          <w:szCs w:val="24"/>
        </w:rPr>
        <w:t xml:space="preserve"> </w:t>
      </w:r>
      <w:r w:rsidR="00A21534" w:rsidRPr="00A21534">
        <w:rPr>
          <w:rFonts w:ascii="Times New Roman" w:hAnsi="Times New Roman" w:cs="Times New Roman"/>
          <w:sz w:val="24"/>
          <w:szCs w:val="24"/>
        </w:rPr>
        <w:t>2019-08-30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Moderate Data Risk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Description:</w:t>
      </w:r>
      <w:r w:rsidR="00A21534">
        <w:rPr>
          <w:rFonts w:ascii="Times New Roman" w:hAnsi="Times New Roman" w:cs="Times New Roman"/>
          <w:sz w:val="24"/>
          <w:szCs w:val="24"/>
        </w:rPr>
        <w:t xml:space="preserve"> </w:t>
      </w:r>
      <w:r w:rsidR="00A21534" w:rsidRPr="00A21534">
        <w:rPr>
          <w:rFonts w:ascii="Times New Roman" w:hAnsi="Times New Roman" w:cs="Times New Roman"/>
          <w:sz w:val="24"/>
          <w:szCs w:val="24"/>
        </w:rPr>
        <w:t xml:space="preserve">Incorrect scoping of kill operations in </w:t>
      </w:r>
      <w:proofErr w:type="spellStart"/>
      <w:r w:rsidR="00A21534" w:rsidRPr="00A2153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A21534" w:rsidRPr="00A21534">
        <w:rPr>
          <w:rFonts w:ascii="Times New Roman" w:hAnsi="Times New Roman" w:cs="Times New Roman"/>
          <w:sz w:val="24"/>
          <w:szCs w:val="24"/>
        </w:rPr>
        <w:t xml:space="preserve"> Server's packaged </w:t>
      </w:r>
      <w:proofErr w:type="spellStart"/>
      <w:r w:rsidR="00A21534" w:rsidRPr="00A21534">
        <w:rPr>
          <w:rFonts w:ascii="Times New Roman" w:hAnsi="Times New Roman" w:cs="Times New Roman"/>
          <w:sz w:val="24"/>
          <w:szCs w:val="24"/>
        </w:rPr>
        <w:t>SysV</w:t>
      </w:r>
      <w:proofErr w:type="spellEnd"/>
      <w:r w:rsidR="00A21534" w:rsidRPr="00A21534">
        <w:rPr>
          <w:rFonts w:ascii="Times New Roman" w:hAnsi="Times New Roman" w:cs="Times New Roman"/>
          <w:sz w:val="24"/>
          <w:szCs w:val="24"/>
        </w:rPr>
        <w:t xml:space="preserve"> init scripts allow users with write access to the PID file to insert arbitrary PIDs to be killed when the root user stops the </w:t>
      </w:r>
      <w:proofErr w:type="spellStart"/>
      <w:r w:rsidR="00A21534" w:rsidRPr="00A2153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A21534" w:rsidRPr="00A21534">
        <w:rPr>
          <w:rFonts w:ascii="Times New Roman" w:hAnsi="Times New Roman" w:cs="Times New Roman"/>
          <w:sz w:val="24"/>
          <w:szCs w:val="24"/>
        </w:rPr>
        <w:t xml:space="preserve"> process via </w:t>
      </w:r>
      <w:proofErr w:type="spellStart"/>
      <w:r w:rsidR="00A21534" w:rsidRPr="00A21534">
        <w:rPr>
          <w:rFonts w:ascii="Times New Roman" w:hAnsi="Times New Roman" w:cs="Times New Roman"/>
          <w:sz w:val="24"/>
          <w:szCs w:val="24"/>
        </w:rPr>
        <w:t>SysV</w:t>
      </w:r>
      <w:proofErr w:type="spellEnd"/>
      <w:r w:rsidR="00A21534" w:rsidRPr="00A21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534" w:rsidRPr="00A2153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:rsidR="00FA165D" w:rsidRDefault="00FA165D">
      <w:pPr>
        <w:rPr>
          <w:rFonts w:ascii="Times New Roman" w:hAnsi="Times New Roman" w:cs="Times New Roman"/>
          <w:sz w:val="24"/>
          <w:szCs w:val="24"/>
        </w:rPr>
      </w:pP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 xml:space="preserve">CVE ID: </w:t>
      </w:r>
      <w:r w:rsidR="00A21534" w:rsidRPr="00A21534">
        <w:rPr>
          <w:rFonts w:ascii="Times New Roman" w:hAnsi="Times New Roman" w:cs="Times New Roman"/>
          <w:sz w:val="24"/>
          <w:szCs w:val="24"/>
        </w:rPr>
        <w:t>CVE-2019-2386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Date published:</w:t>
      </w:r>
      <w:r w:rsidR="00A21534">
        <w:rPr>
          <w:rFonts w:ascii="Times New Roman" w:hAnsi="Times New Roman" w:cs="Times New Roman"/>
          <w:sz w:val="24"/>
          <w:szCs w:val="24"/>
        </w:rPr>
        <w:t xml:space="preserve"> </w:t>
      </w:r>
      <w:r w:rsidR="00A21534" w:rsidRPr="00A21534">
        <w:rPr>
          <w:rFonts w:ascii="Times New Roman" w:hAnsi="Times New Roman" w:cs="Times New Roman"/>
          <w:sz w:val="24"/>
          <w:szCs w:val="24"/>
        </w:rPr>
        <w:t>2019-08-06</w:t>
      </w:r>
    </w:p>
    <w:p w:rsidR="00FA165D" w:rsidRPr="00FA165D" w:rsidRDefault="00FA165D" w:rsidP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Risk Classification:</w:t>
      </w:r>
      <w:r w:rsidR="00637019">
        <w:rPr>
          <w:rFonts w:ascii="Times New Roman" w:hAnsi="Times New Roman" w:cs="Times New Roman"/>
          <w:sz w:val="24"/>
          <w:szCs w:val="24"/>
        </w:rPr>
        <w:t xml:space="preserve"> High Data Risk</w:t>
      </w:r>
    </w:p>
    <w:p w:rsidR="00FA165D" w:rsidRPr="00CF623E" w:rsidRDefault="00FA165D">
      <w:pPr>
        <w:rPr>
          <w:rFonts w:ascii="Times New Roman" w:hAnsi="Times New Roman" w:cs="Times New Roman"/>
          <w:sz w:val="24"/>
          <w:szCs w:val="24"/>
        </w:rPr>
      </w:pPr>
      <w:r w:rsidRPr="00FA165D">
        <w:rPr>
          <w:rFonts w:ascii="Times New Roman" w:hAnsi="Times New Roman" w:cs="Times New Roman"/>
          <w:sz w:val="24"/>
          <w:szCs w:val="24"/>
        </w:rPr>
        <w:t>Description:</w:t>
      </w:r>
      <w:r w:rsidR="00A21534">
        <w:rPr>
          <w:rFonts w:ascii="Times New Roman" w:hAnsi="Times New Roman" w:cs="Times New Roman"/>
          <w:sz w:val="24"/>
          <w:szCs w:val="24"/>
        </w:rPr>
        <w:t xml:space="preserve"> </w:t>
      </w:r>
      <w:r w:rsidR="00A21534" w:rsidRPr="00A21534">
        <w:rPr>
          <w:rFonts w:ascii="Times New Roman" w:hAnsi="Times New Roman" w:cs="Times New Roman"/>
          <w:sz w:val="24"/>
          <w:szCs w:val="24"/>
        </w:rPr>
        <w:t xml:space="preserve">After user deletion in </w:t>
      </w:r>
      <w:proofErr w:type="spellStart"/>
      <w:r w:rsidR="00A21534" w:rsidRPr="00A2153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A21534" w:rsidRPr="00A21534">
        <w:rPr>
          <w:rFonts w:ascii="Times New Roman" w:hAnsi="Times New Roman" w:cs="Times New Roman"/>
          <w:sz w:val="24"/>
          <w:szCs w:val="24"/>
        </w:rPr>
        <w:t xml:space="preserve"> Server the improper invalidation of authorization sessions allows an authenticated user's session to persist and become conflated with new accounts, if those accounts reuse the names of deleted ones.</w:t>
      </w:r>
    </w:p>
    <w:sectPr w:rsidR="00FA165D" w:rsidRPr="00CF623E" w:rsidSect="0082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38F0"/>
    <w:rsid w:val="00095F05"/>
    <w:rsid w:val="0030747C"/>
    <w:rsid w:val="00504791"/>
    <w:rsid w:val="00550B58"/>
    <w:rsid w:val="00637019"/>
    <w:rsid w:val="00823401"/>
    <w:rsid w:val="00A21534"/>
    <w:rsid w:val="00A538F0"/>
    <w:rsid w:val="00CF623E"/>
    <w:rsid w:val="00D21CDF"/>
    <w:rsid w:val="00F56B8C"/>
    <w:rsid w:val="00FA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4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Basic</cp:lastModifiedBy>
  <cp:revision>7</cp:revision>
  <dcterms:created xsi:type="dcterms:W3CDTF">2021-08-07T15:40:00Z</dcterms:created>
  <dcterms:modified xsi:type="dcterms:W3CDTF">2021-08-07T17:33:00Z</dcterms:modified>
</cp:coreProperties>
</file>