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bookmarkStart w:id="0" w:name="_GoBack"/>
      <w:bookmarkEnd w:id="0"/>
      <w:r>
        <w:rPr>
          <w:rFonts w:cs="Times New Roman" w:ascii="Times New Roman" w:hAnsi="Times New Roman"/>
          <w:color w:val="auto"/>
          <w:lang w:val="ru-RU"/>
        </w:rPr>
        <w:t xml:space="preserve">Промежуточная аттестация — БД </w:t>
      </w:r>
      <w:r>
        <w:rPr>
          <w:rFonts w:cs="Times New Roman" w:ascii="Times New Roman" w:hAnsi="Times New Roman"/>
          <w:color w:val="auto"/>
        </w:rPr>
        <w:t>mobile</w:t>
      </w:r>
      <w:r>
        <w:rPr>
          <w:rFonts w:cs="Times New Roman" w:ascii="Times New Roman" w:hAnsi="Times New Roman"/>
          <w:color w:val="auto"/>
          <w:lang w:val="ru-RU"/>
        </w:rPr>
        <w:t>_</w:t>
      </w:r>
      <w:r>
        <w:rPr>
          <w:rFonts w:cs="Times New Roman" w:ascii="Times New Roman" w:hAnsi="Times New Roman"/>
          <w:color w:val="auto"/>
        </w:rPr>
        <w:t>app</w:t>
      </w:r>
    </w:p>
    <w:p>
      <w:pPr>
        <w:pStyle w:val="Heading1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Описание файлов</w:t>
      </w:r>
    </w:p>
    <w:tbl>
      <w:tblPr>
        <w:tblStyle w:val="aff3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88"/>
        <w:gridCol w:w="2446"/>
        <w:gridCol w:w="2306"/>
      </w:tblGrid>
      <w:tr>
        <w:trPr/>
        <w:tc>
          <w:tcPr>
            <w:tcW w:w="38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b/>
                <w:kern w:val="0"/>
                <w:sz w:val="20"/>
                <w:szCs w:val="20"/>
                <w:lang w:val="en-US" w:eastAsia="en-US" w:bidi="ar-SA"/>
              </w:rPr>
              <w:t>Файл</w:t>
            </w:r>
          </w:p>
        </w:tc>
        <w:tc>
          <w:tcPr>
            <w:tcW w:w="2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  <w:lang w:val="ru-RU"/>
              </w:rPr>
            </w:pPr>
            <w:r>
              <w:rPr>
                <w:rFonts w:eastAsia="MS Mincho" w:cs="Times New Roman"/>
                <w:b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  <w:lang w:val="ru-RU"/>
              </w:rPr>
            </w:pPr>
            <w:r>
              <w:rPr>
                <w:rFonts w:eastAsia="MS Mincho" w:cs="Times New Roman"/>
                <w:b/>
                <w:kern w:val="0"/>
                <w:sz w:val="20"/>
                <w:szCs w:val="20"/>
                <w:lang w:val="ru-RU" w:eastAsia="en-US" w:bidi="ar-SA"/>
              </w:rPr>
              <w:t>Источник данных</w:t>
            </w:r>
          </w:p>
        </w:tc>
      </w:tr>
      <w:tr>
        <w:trPr/>
        <w:tc>
          <w:tcPr>
            <w:tcW w:w="38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create_view.sql</w:t>
            </w:r>
          </w:p>
        </w:tc>
        <w:tc>
          <w:tcPr>
            <w:tcW w:w="2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 xml:space="preserve">SQL </w:t>
            </w: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скрипт создания представления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  <w:lang w:val="ru-RU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 xml:space="preserve">Выполняется в базе </w:t>
            </w: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mobile</w:t>
            </w: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_</w:t>
            </w: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app</w:t>
            </w: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 xml:space="preserve"> (раздел 5)</w:t>
            </w:r>
          </w:p>
        </w:tc>
      </w:tr>
      <w:tr>
        <w:trPr/>
        <w:tc>
          <w:tcPr>
            <w:tcW w:w="38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support_ticket_risk_features_raw.csv</w:t>
            </w:r>
          </w:p>
        </w:tc>
        <w:tc>
          <w:tcPr>
            <w:tcW w:w="2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  <w:lang w:val="ru-RU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 xml:space="preserve">CSV </w:t>
            </w: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выгрузка из представления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  <w:lang w:val="ru-RU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Представление</w:t>
            </w:r>
          </w:p>
        </w:tc>
      </w:tr>
      <w:tr>
        <w:trPr/>
        <w:tc>
          <w:tcPr>
            <w:tcW w:w="38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eda_support_ticket_risk.py</w:t>
            </w:r>
          </w:p>
        </w:tc>
        <w:tc>
          <w:tcPr>
            <w:tcW w:w="2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  <w:lang w:val="ru-RU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Скрипт очищает данные, анализирует данные,  строит графики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 xml:space="preserve">CSV </w:t>
            </w: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ыгрузка из представ</w:t>
            </w:r>
            <w:r>
              <w:rPr>
                <w:rFonts w:eastAsia="MS Mincho" w:cs="Times New Roman"/>
                <w:kern w:val="0"/>
                <w:sz w:val="20"/>
                <w:szCs w:val="20"/>
                <w:lang w:val="ru-RU" w:eastAsia="en-US" w:bidi="ar-SA"/>
              </w:rPr>
              <w:t>ления</w:t>
            </w:r>
          </w:p>
        </w:tc>
      </w:tr>
      <w:tr>
        <w:trPr/>
        <w:tc>
          <w:tcPr>
            <w:tcW w:w="38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support_ticket_risk_features_clean.csv</w:t>
              <w:br/>
              <w:t>support_ticket_risk_features_clean.xlsx</w:t>
            </w:r>
          </w:p>
        </w:tc>
        <w:tc>
          <w:tcPr>
            <w:tcW w:w="2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Таблица после очистки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eda_support_ticket_risk.py</w:t>
            </w:r>
          </w:p>
        </w:tc>
      </w:tr>
      <w:tr>
        <w:trPr/>
        <w:tc>
          <w:tcPr>
            <w:tcW w:w="38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1_bar_ticket_rate_by_payment_failed.png</w:t>
              <w:br/>
              <w:t>2_hist_notification_open_rate.png</w:t>
              <w:br/>
              <w:t>3_scatter_conversion_vs_sessions.png</w:t>
              <w:br/>
              <w:t>4_heatmap_correlation.png</w:t>
            </w:r>
          </w:p>
        </w:tc>
        <w:tc>
          <w:tcPr>
            <w:tcW w:w="2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Графики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rFonts w:eastAsia="MS Mincho" w:cs="Times New Roman"/>
                <w:sz w:val="20"/>
                <w:szCs w:val="20"/>
              </w:rPr>
            </w:pPr>
            <w:r>
              <w:rPr>
                <w:rFonts w:eastAsia="MS Mincho" w:cs="Times New Roman"/>
                <w:kern w:val="0"/>
                <w:sz w:val="20"/>
                <w:szCs w:val="20"/>
                <w:lang w:val="en-US" w:eastAsia="en-US" w:bidi="ar-SA"/>
              </w:rPr>
              <w:t>eda_support_ticket_risk.py</w:t>
            </w:r>
          </w:p>
        </w:tc>
      </w:tr>
    </w:tbl>
    <w:p>
      <w:pPr>
        <w:pStyle w:val="Normal"/>
        <w:ind w:firstLine="567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ind w:firstLine="567"/>
        <w:jc w:val="both"/>
        <w:rPr>
          <w:rFonts w:cs="Times New Roman"/>
        </w:rPr>
      </w:pPr>
      <w:r>
        <w:rPr>
          <w:rFonts w:cs="Times New Roman"/>
          <w:lang w:val="ru-RU"/>
        </w:rPr>
        <w:t>Скрипты</w:t>
      </w:r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запускаются</w:t>
      </w:r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в</w:t>
      </w:r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следующем</w:t>
      </w:r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порядке</w:t>
      </w:r>
      <w:r>
        <w:rPr>
          <w:rFonts w:cs="Times New Roman"/>
        </w:rPr>
        <w:t xml:space="preserve">: create_view.sql, выгрузка в raw.csv, eda_support_ticket_risk.py. 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1. База данных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Из предложенных баз выбрана </w:t>
      </w:r>
      <w:r>
        <w:rPr>
          <w:rFonts w:cs="Times New Roman"/>
        </w:rPr>
        <w:t>mobile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app</w:t>
      </w:r>
      <w:r>
        <w:rPr>
          <w:rFonts w:cs="Times New Roman"/>
          <w:lang w:val="ru-RU"/>
        </w:rPr>
        <w:t xml:space="preserve"> — данные мобильного приложения-маркетплейса. 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2. Бизнес-задача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Служба поддержки хочет заранее вычислять пользователей, которые с большой вероятностью откроют обращение — чтобы успеть среагировать проактивно и снизить риск негатива и отказов пользоваться приложением.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 xml:space="preserve">3. </w:t>
      </w:r>
      <w:r>
        <w:rPr>
          <w:rFonts w:cs="Times New Roman" w:ascii="Times New Roman" w:hAnsi="Times New Roman"/>
          <w:color w:val="auto"/>
        </w:rPr>
        <w:t>ML</w:t>
      </w:r>
      <w:r>
        <w:rPr>
          <w:rFonts w:cs="Times New Roman" w:ascii="Times New Roman" w:hAnsi="Times New Roman"/>
          <w:color w:val="auto"/>
          <w:lang w:val="ru-RU"/>
        </w:rPr>
        <w:t>-задача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Бинарная классификация: по поведению пользователя за 30 дней до некоторой точки отсчёта — откроет ли он обращение. Если уже было обращение — момент создания тикета, если не было — дата его последней сессии в приложении.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4. Целевая переменная и признаки</w:t>
      </w:r>
    </w:p>
    <w:p>
      <w:pPr>
        <w:pStyle w:val="Normal"/>
        <w:ind w:firstLine="567"/>
        <w:jc w:val="both"/>
        <w:rPr>
          <w:rFonts w:cs="Times New Roman"/>
        </w:rPr>
      </w:pPr>
      <w:r>
        <w:rPr>
          <w:rFonts w:cs="Times New Roman"/>
          <w:lang w:val="ru-RU"/>
        </w:rPr>
        <w:t xml:space="preserve">Целевая переменная: </w:t>
      </w:r>
      <w:r>
        <w:rPr>
          <w:rFonts w:cs="Times New Roman"/>
        </w:rPr>
        <w:t>has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ticket</w:t>
      </w:r>
      <w:r>
        <w:rPr>
          <w:rFonts w:cs="Times New Roman"/>
          <w:lang w:val="ru-RU"/>
        </w:rPr>
        <w:t xml:space="preserve"> (0/1) — открывал ли пользователь хотя бы одно обращение. </w:t>
      </w:r>
      <w:r>
        <w:rPr>
          <w:rFonts w:cs="Times New Roman"/>
        </w:rPr>
        <w:t>Признаки считаются в том же 30-дневном окне:</w:t>
      </w:r>
    </w:p>
    <w:p>
      <w:pPr>
        <w:pStyle w:val="ListBullet"/>
        <w:numPr>
          <w:ilvl w:val="0"/>
          <w:numId w:val="7"/>
        </w:numPr>
        <w:ind w:firstLine="567"/>
        <w:jc w:val="both"/>
        <w:rPr>
          <w:rFonts w:cs="Times New Roman"/>
        </w:rPr>
      </w:pPr>
      <w:r>
        <w:rPr>
          <w:rFonts w:cs="Times New Roman"/>
        </w:rPr>
        <w:t>Активность в приложении — session_count_30d, avg_session_duration_min_30d, distinct_active_days_30d, total_events_30d</w:t>
      </w:r>
    </w:p>
    <w:p>
      <w:pPr>
        <w:pStyle w:val="ListBullet"/>
        <w:numPr>
          <w:ilvl w:val="0"/>
          <w:numId w:val="7"/>
        </w:numPr>
        <w:ind w:firstLine="567"/>
        <w:jc w:val="both"/>
        <w:rPr>
          <w:rFonts w:cs="Times New Roman"/>
        </w:rPr>
      </w:pPr>
      <w:r>
        <w:rPr>
          <w:rFonts w:cs="Times New Roman"/>
        </w:rPr>
        <w:t>Отказы оплаты и незавершённые оформления покупки — payment_failed_30d, checkout_started_30d, checkout_conversion_rate_30d, orders_cancelled_refunded_30d, cancelled_refunded_rate_30d</w:t>
      </w:r>
    </w:p>
    <w:p>
      <w:pPr>
        <w:pStyle w:val="ListBullet"/>
        <w:numPr>
          <w:ilvl w:val="0"/>
          <w:numId w:val="7"/>
        </w:numPr>
        <w:ind w:firstLine="567"/>
        <w:jc w:val="both"/>
        <w:rPr>
          <w:rFonts w:cs="Times New Roman"/>
        </w:rPr>
      </w:pPr>
      <w:r>
        <w:rPr>
          <w:rFonts w:cs="Times New Roman"/>
        </w:rPr>
        <w:t>Открываемость push-уведомлений — notification_open_rate_30d</w:t>
      </w:r>
    </w:p>
    <w:p>
      <w:pPr>
        <w:pStyle w:val="ListBullet"/>
        <w:numPr>
          <w:ilvl w:val="0"/>
          <w:numId w:val="7"/>
        </w:numPr>
        <w:ind w:firstLine="567"/>
        <w:jc w:val="both"/>
        <w:rPr>
          <w:rFonts w:cs="Times New Roman"/>
        </w:rPr>
      </w:pPr>
      <w:r>
        <w:rPr>
          <w:rFonts w:cs="Times New Roman"/>
        </w:rPr>
        <w:t>Отзывы — avg_review_rating_30d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Всё это считается в представлении из таблиц </w:t>
      </w:r>
      <w:r>
        <w:rPr>
          <w:rFonts w:cs="Times New Roman"/>
        </w:rPr>
        <w:t>sessions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events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orders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notifications</w:t>
      </w:r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product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reviews</w:t>
      </w:r>
      <w:r>
        <w:rPr>
          <w:rFonts w:cs="Times New Roman"/>
          <w:lang w:val="ru-RU"/>
        </w:rPr>
        <w:t>. Колонок в представлении больше, чем в этом списке: есть число поисков и просмотров товаров, покупки, число заказов, страна, пол, источник привлечения. Они остались в выгрузке на случай, если пригодятся модели, но в гипотезах не используются.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 xml:space="preserve">5. Представление </w:t>
      </w:r>
      <w:r>
        <w:rPr>
          <w:rFonts w:cs="Times New Roman" w:ascii="Times New Roman" w:hAnsi="Times New Roman"/>
          <w:color w:val="auto"/>
        </w:rPr>
        <w:t>VIEW</w:t>
      </w:r>
      <w:r>
        <w:rPr>
          <w:rFonts w:cs="Times New Roman" w:ascii="Times New Roman" w:hAnsi="Times New Roman"/>
          <w:color w:val="auto"/>
          <w:lang w:val="ru-RU"/>
        </w:rPr>
        <w:t xml:space="preserve"> (</w:t>
      </w:r>
      <w:r>
        <w:rPr>
          <w:rFonts w:cs="Times New Roman" w:ascii="Times New Roman" w:hAnsi="Times New Roman"/>
          <w:color w:val="auto"/>
        </w:rPr>
        <w:t>create</w:t>
      </w:r>
      <w:r>
        <w:rPr>
          <w:rFonts w:cs="Times New Roman" w:ascii="Times New Roman" w:hAnsi="Times New Roman"/>
          <w:color w:val="auto"/>
          <w:lang w:val="ru-RU"/>
        </w:rPr>
        <w:t>_</w:t>
      </w:r>
      <w:r>
        <w:rPr>
          <w:rFonts w:cs="Times New Roman" w:ascii="Times New Roman" w:hAnsi="Times New Roman"/>
          <w:color w:val="auto"/>
        </w:rPr>
        <w:t>view</w:t>
      </w:r>
      <w:r>
        <w:rPr>
          <w:rFonts w:cs="Times New Roman" w:ascii="Times New Roman" w:hAnsi="Times New Roman"/>
          <w:color w:val="auto"/>
          <w:lang w:val="ru-RU"/>
        </w:rPr>
        <w:t>.</w:t>
      </w:r>
      <w:r>
        <w:rPr>
          <w:rFonts w:cs="Times New Roman" w:ascii="Times New Roman" w:hAnsi="Times New Roman"/>
          <w:color w:val="auto"/>
        </w:rPr>
        <w:t>sql</w:t>
      </w:r>
      <w:r>
        <w:rPr>
          <w:rFonts w:cs="Times New Roman" w:ascii="Times New Roman" w:hAnsi="Times New Roman"/>
          <w:color w:val="auto"/>
          <w:lang w:val="ru-RU"/>
        </w:rPr>
        <w:t>)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Точка отсчёта для тех, кто уже обращался в поддержку, это дата создания тикета, для остальных — дата их последней сессии в приложении 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Отмечу что в представление не попадают пользователи, у которых нет ни одной сессии и ни одного тикета, — точку отсчёта для них взять неоткуда. Таких 565 из 10 000, поэтому строк 9435.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7. Разведочный анализ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Скрипт вычислят </w:t>
      </w:r>
      <w:r>
        <w:rPr>
          <w:rFonts w:cs="Times New Roman"/>
        </w:rPr>
        <w:t>raw</w:t>
      </w:r>
      <w:r>
        <w:rPr>
          <w:rFonts w:cs="Times New Roman"/>
          <w:lang w:val="ru-RU"/>
        </w:rPr>
        <w:t>-</w:t>
      </w:r>
      <w:r>
        <w:rPr>
          <w:rFonts w:cs="Times New Roman"/>
        </w:rPr>
        <w:t>csv</w:t>
      </w:r>
      <w:r>
        <w:rPr>
          <w:rFonts w:cs="Times New Roman"/>
          <w:lang w:val="ru-RU"/>
        </w:rPr>
        <w:t xml:space="preserve">, считает корреляции всех числовых признаков с  переменной </w:t>
      </w:r>
      <w:r>
        <w:rPr>
          <w:rFonts w:cs="Times New Roman"/>
        </w:rPr>
        <w:t>has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ticket</w:t>
      </w:r>
      <w:r>
        <w:rPr>
          <w:rFonts w:cs="Times New Roman"/>
          <w:lang w:val="ru-RU"/>
        </w:rPr>
        <w:t xml:space="preserve"> идля каждой из четырёх гипотез описанныз ниже.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На что обратил внимание при разведочном анализе: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Пользователи вообще без активности в период встречаются примерно одинаково часто в обеих группах — 38,8% среди не обращавшихся и 40,2% среди обратившихся. То есть само по себе отсутствие активности ничего не говорит о риске обращения.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При этом обращение есть у 508 пользователей из 9435, это 5,4%. 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>8. Графики</w:t>
      </w:r>
    </w:p>
    <w:p>
      <w:pPr>
        <w:pStyle w:val="Normal"/>
        <w:ind w:firstLine="567"/>
        <w:jc w:val="both"/>
        <w:rPr>
          <w:rFonts w:cs="Times New Roman"/>
        </w:rPr>
      </w:pPr>
      <w:r>
        <w:rPr/>
        <w:drawing>
          <wp:inline distT="0" distB="0" distL="0" distR="0">
            <wp:extent cx="3840480" cy="28803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1_</w:t>
      </w:r>
      <w:r>
        <w:rPr>
          <w:rFonts w:cs="Times New Roman"/>
        </w:rPr>
        <w:t>bar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ticket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rate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payment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failed</w:t>
      </w:r>
      <w:r>
        <w:rPr>
          <w:rFonts w:cs="Times New Roman"/>
          <w:lang w:val="ru-RU"/>
        </w:rPr>
        <w:t>.</w:t>
      </w:r>
      <w:r>
        <w:rPr>
          <w:rFonts w:cs="Times New Roman"/>
        </w:rPr>
        <w:t>png</w:t>
      </w:r>
      <w:r>
        <w:rPr>
          <w:rFonts w:cs="Times New Roman"/>
          <w:lang w:val="ru-RU"/>
        </w:rPr>
        <w:t xml:space="preserve">. Доля обратившихся в поддержку среди тех, у кого за 30 дней была хотя бы одна неудачная оплата, и среди всех остальных: 11,9% против 5,3%. </w:t>
      </w:r>
    </w:p>
    <w:p>
      <w:pPr>
        <w:pStyle w:val="Normal"/>
        <w:ind w:firstLine="567"/>
        <w:jc w:val="both"/>
        <w:rPr>
          <w:rFonts w:cs="Times New Roman"/>
        </w:rPr>
      </w:pPr>
      <w:r>
        <w:rPr/>
        <w:drawing>
          <wp:inline distT="0" distB="0" distL="0" distR="0">
            <wp:extent cx="4206240" cy="29121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rPr>
          <w:rFonts w:cs="Times New Roman"/>
        </w:rPr>
      </w:pPr>
      <w:r>
        <w:rPr>
          <w:rFonts w:cs="Times New Roman"/>
          <w:lang w:val="ru-RU"/>
        </w:rPr>
        <w:t>2_</w:t>
      </w:r>
      <w:r>
        <w:rPr>
          <w:rFonts w:cs="Times New Roman"/>
        </w:rPr>
        <w:t>hist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notification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open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rate</w:t>
      </w:r>
      <w:r>
        <w:rPr>
          <w:rFonts w:cs="Times New Roman"/>
          <w:lang w:val="ru-RU"/>
        </w:rPr>
        <w:t>.</w:t>
      </w:r>
      <w:r>
        <w:rPr>
          <w:rFonts w:cs="Times New Roman"/>
        </w:rPr>
        <w:t>png</w:t>
      </w:r>
      <w:r>
        <w:rPr>
          <w:rFonts w:cs="Times New Roman"/>
          <w:lang w:val="ru-RU"/>
        </w:rPr>
        <w:t xml:space="preserve">. Распределение доли открытых </w:t>
      </w:r>
      <w:r>
        <w:rPr>
          <w:rFonts w:cs="Times New Roman"/>
        </w:rPr>
        <w:t>push</w:t>
      </w:r>
      <w:r>
        <w:rPr>
          <w:rFonts w:cs="Times New Roman"/>
          <w:lang w:val="ru-RU"/>
        </w:rPr>
        <w:t>-уведомлений в двух группах. Не обратившиеся (</w:t>
      </w:r>
      <w:r>
        <w:rPr>
          <w:rFonts w:cs="Times New Roman"/>
        </w:rPr>
        <w:t>has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ticket</w:t>
      </w:r>
      <w:r>
        <w:rPr>
          <w:rFonts w:cs="Times New Roman"/>
          <w:lang w:val="ru-RU"/>
        </w:rPr>
        <w:t>=</w:t>
      </w:r>
      <w:r>
        <w:rPr>
          <w:rFonts w:cs="Times New Roman"/>
        </w:rPr>
        <w:t>false</w:t>
      </w:r>
      <w:r>
        <w:rPr>
          <w:rFonts w:cs="Times New Roman"/>
          <w:lang w:val="ru-RU"/>
        </w:rPr>
        <w:t>)– чаще не открывают уведомления (см. столбец там где 0). Обратившиеся (</w:t>
      </w:r>
      <w:r>
        <w:rPr>
          <w:rFonts w:cs="Times New Roman"/>
        </w:rPr>
        <w:t xml:space="preserve">has_ticket=true) – </w:t>
      </w:r>
      <w:r>
        <w:rPr>
          <w:rFonts w:cs="Times New Roman"/>
          <w:lang w:val="ru-RU"/>
        </w:rPr>
        <w:t>чаще открывают все уведомления.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</w:r>
    </w:p>
    <w:p>
      <w:pPr>
        <w:pStyle w:val="Normal"/>
        <w:ind w:firstLine="567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ind w:firstLine="567"/>
        <w:jc w:val="both"/>
        <w:rPr>
          <w:rFonts w:cs="Times New Roman"/>
        </w:rPr>
      </w:pPr>
      <w:r>
        <w:rPr/>
        <w:drawing>
          <wp:inline distT="0" distB="0" distL="0" distR="0">
            <wp:extent cx="4023360" cy="30949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3_</w:t>
      </w:r>
      <w:r>
        <w:rPr>
          <w:rFonts w:cs="Times New Roman"/>
        </w:rPr>
        <w:t>scatter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conversion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vs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sessions</w:t>
      </w:r>
      <w:r>
        <w:rPr>
          <w:rFonts w:cs="Times New Roman"/>
          <w:lang w:val="ru-RU"/>
        </w:rPr>
        <w:t>.</w:t>
      </w:r>
      <w:r>
        <w:rPr>
          <w:rFonts w:cs="Times New Roman"/>
        </w:rPr>
        <w:t>png</w:t>
      </w:r>
      <w:r>
        <w:rPr>
          <w:rFonts w:cs="Times New Roman"/>
          <w:lang w:val="ru-RU"/>
        </w:rPr>
        <w:t>. По горизонтали — число сессий за 30 дней, по вертикали — конверсия начатых оформлений в покупку, красным отмечены обратившиеся (</w:t>
      </w:r>
      <w:r>
        <w:rPr>
          <w:rFonts w:cs="Times New Roman"/>
        </w:rPr>
        <w:t>has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ticket</w:t>
      </w:r>
      <w:r>
        <w:rPr>
          <w:rFonts w:cs="Times New Roman"/>
          <w:lang w:val="ru-RU"/>
        </w:rPr>
        <w:t>=</w:t>
      </w:r>
      <w:r>
        <w:rPr>
          <w:rFonts w:cs="Times New Roman"/>
        </w:rPr>
        <w:t>true</w:t>
      </w:r>
      <w:r>
        <w:rPr>
          <w:rFonts w:cs="Times New Roman"/>
          <w:lang w:val="ru-RU"/>
        </w:rPr>
        <w:t xml:space="preserve">). Отдельной области, где концентрируются красные точки, на графике не обнаружено:  связи признаков с  </w:t>
      </w:r>
      <w:r>
        <w:rPr>
          <w:rFonts w:cs="Times New Roman"/>
        </w:rPr>
        <w:t>has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ticket</w:t>
      </w:r>
      <w:r>
        <w:rPr>
          <w:rFonts w:cs="Times New Roman"/>
          <w:lang w:val="ru-RU"/>
        </w:rPr>
        <w:t>=</w:t>
      </w:r>
      <w:r>
        <w:rPr>
          <w:rFonts w:cs="Times New Roman"/>
        </w:rPr>
        <w:t>true</w:t>
      </w:r>
      <w:r>
        <w:rPr>
          <w:rFonts w:cs="Times New Roman"/>
          <w:lang w:val="ru-RU"/>
        </w:rPr>
        <w:t xml:space="preserve"> не выявлено.</w:t>
      </w:r>
    </w:p>
    <w:p>
      <w:pPr>
        <w:pStyle w:val="Normal"/>
        <w:ind w:firstLine="567"/>
        <w:jc w:val="both"/>
        <w:rPr>
          <w:rFonts w:cs="Times New Roman"/>
        </w:rPr>
      </w:pPr>
      <w:r>
        <w:rPr/>
        <w:drawing>
          <wp:inline distT="0" distB="0" distL="0" distR="0">
            <wp:extent cx="4389120" cy="351155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4_</w:t>
      </w:r>
      <w:r>
        <w:rPr>
          <w:rFonts w:cs="Times New Roman"/>
        </w:rPr>
        <w:t>heatmap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correlation</w:t>
      </w:r>
      <w:r>
        <w:rPr>
          <w:rFonts w:cs="Times New Roman"/>
          <w:lang w:val="ru-RU"/>
        </w:rPr>
        <w:t>.</w:t>
      </w:r>
      <w:r>
        <w:rPr>
          <w:rFonts w:cs="Times New Roman"/>
        </w:rPr>
        <w:t>png</w:t>
      </w:r>
      <w:r>
        <w:rPr>
          <w:rFonts w:cs="Times New Roman"/>
          <w:lang w:val="ru-RU"/>
        </w:rPr>
        <w:t xml:space="preserve">. Корреляции между таргетом и ключевыми признаками. На графике заметна связь </w:t>
      </w:r>
      <w:r>
        <w:rPr>
          <w:rFonts w:cs="Times New Roman"/>
        </w:rPr>
        <w:t>payment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failed</w:t>
      </w:r>
      <w:r>
        <w:rPr>
          <w:rFonts w:cs="Times New Roman"/>
          <w:lang w:val="ru-RU"/>
        </w:rPr>
        <w:t>_30</w:t>
      </w:r>
      <w:r>
        <w:rPr>
          <w:rFonts w:cs="Times New Roman"/>
        </w:rPr>
        <w:t>d</w:t>
      </w:r>
      <w:r>
        <w:rPr>
          <w:rFonts w:cs="Times New Roman"/>
          <w:lang w:val="ru-RU"/>
        </w:rPr>
        <w:t xml:space="preserve"> с общим числом событий (0,22): таким образом отказы оплаты чаще случаются у активных пользователей. Это учитывается в гипотезе 1.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9. Очистка данных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Некорректные значения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Проверены значения, которые не могут быть истинными: отрицательная длительность сессии, точка отсчёта раньше даты регистрации, рейтинг вне шкалы 1–5, повторяющиеся пользователи. Таких строк не найдено. 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Выбросы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У </w:t>
      </w:r>
      <w:r>
        <w:rPr>
          <w:rFonts w:cs="Times New Roman"/>
        </w:rPr>
        <w:t>session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count</w:t>
      </w:r>
      <w:r>
        <w:rPr>
          <w:rFonts w:cs="Times New Roman"/>
          <w:lang w:val="ru-RU"/>
        </w:rPr>
        <w:t>_30</w:t>
      </w:r>
      <w:r>
        <w:rPr>
          <w:rFonts w:cs="Times New Roman"/>
        </w:rPr>
        <w:t>d</w:t>
      </w:r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total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events</w:t>
      </w:r>
      <w:r>
        <w:rPr>
          <w:rFonts w:cs="Times New Roman"/>
          <w:lang w:val="ru-RU"/>
        </w:rPr>
        <w:t>_30</w:t>
      </w:r>
      <w:r>
        <w:rPr>
          <w:rFonts w:cs="Times New Roman"/>
        </w:rPr>
        <w:t>d</w:t>
      </w:r>
      <w:r>
        <w:rPr>
          <w:rFonts w:cs="Times New Roman"/>
          <w:lang w:val="ru-RU"/>
        </w:rPr>
        <w:t xml:space="preserve"> длинный правый хвост: медиана — 1 сессия и 8 событий, максимум — 36 сессий и 747 событий. Удалять таких пользователей нельзя: это не ошибка, а просто очень активные люди, и среди них тоже есть обратившиеся. Поэтому значения выше границы </w:t>
      </w:r>
      <w:r>
        <w:rPr>
          <w:rFonts w:cs="Times New Roman"/>
        </w:rPr>
        <w:t>Q</w:t>
      </w:r>
      <w:r>
        <w:rPr>
          <w:rFonts w:cs="Times New Roman"/>
          <w:lang w:val="ru-RU"/>
        </w:rPr>
        <w:t>3 + 1,5·</w:t>
      </w:r>
      <w:r>
        <w:rPr>
          <w:rFonts w:cs="Times New Roman"/>
        </w:rPr>
        <w:t>IQR</w:t>
      </w:r>
      <w:r>
        <w:rPr>
          <w:rFonts w:cs="Times New Roman"/>
          <w:lang w:val="ru-RU"/>
        </w:rPr>
        <w:t xml:space="preserve"> заменены на саму границу (</w:t>
      </w:r>
      <w:r>
        <w:rPr>
          <w:rFonts w:cs="Times New Roman"/>
        </w:rPr>
        <w:t>winsorizing</w:t>
      </w:r>
      <w:r>
        <w:rPr>
          <w:rFonts w:cs="Times New Roman"/>
          <w:lang w:val="ru-RU"/>
        </w:rPr>
        <w:t xml:space="preserve">): для сессий она равна 5, для событий — 70, затронуто 911 и 995 строк, около 10% выборки. Обрезанные значения записаны в новые колонки </w:t>
      </w:r>
      <w:r>
        <w:rPr>
          <w:rFonts w:cs="Times New Roman"/>
        </w:rPr>
        <w:t>session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count</w:t>
      </w:r>
      <w:r>
        <w:rPr>
          <w:rFonts w:cs="Times New Roman"/>
          <w:lang w:val="ru-RU"/>
        </w:rPr>
        <w:t>_30</w:t>
      </w:r>
      <w:r>
        <w:rPr>
          <w:rFonts w:cs="Times New Roman"/>
        </w:rPr>
        <w:t>d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capped</w:t>
      </w:r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total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events</w:t>
      </w:r>
      <w:r>
        <w:rPr>
          <w:rFonts w:cs="Times New Roman"/>
          <w:lang w:val="ru-RU"/>
        </w:rPr>
        <w:t>_30</w:t>
      </w:r>
      <w:r>
        <w:rPr>
          <w:rFonts w:cs="Times New Roman"/>
        </w:rPr>
        <w:t>d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capped</w:t>
      </w:r>
      <w:r>
        <w:rPr>
          <w:rFonts w:cs="Times New Roman"/>
          <w:lang w:val="ru-RU"/>
        </w:rPr>
        <w:t>, исходные колонки сохранены.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 </w:t>
      </w:r>
      <w:r>
        <w:rPr>
          <w:rFonts w:cs="Times New Roman"/>
        </w:rPr>
        <w:t>checkout</w:t>
      </w:r>
      <w:r>
        <w:rPr>
          <w:rFonts w:cs="Times New Roman"/>
          <w:lang w:val="ru-RU"/>
        </w:rPr>
        <w:t>_</w:t>
      </w:r>
      <w:r>
        <w:rPr>
          <w:rFonts w:cs="Times New Roman"/>
        </w:rPr>
        <w:t>started</w:t>
      </w:r>
      <w:r>
        <w:rPr>
          <w:rFonts w:cs="Times New Roman"/>
          <w:lang w:val="ru-RU"/>
        </w:rPr>
        <w:t>_30</w:t>
      </w:r>
      <w:r>
        <w:rPr>
          <w:rFonts w:cs="Times New Roman"/>
        </w:rPr>
        <w:t>d</w:t>
      </w:r>
      <w:r>
        <w:rPr>
          <w:rFonts w:cs="Times New Roman"/>
          <w:lang w:val="ru-RU"/>
        </w:rPr>
        <w:t xml:space="preserve"> тот же приём не работает. У 75,8% пользователей там ноль, поэтому и </w:t>
      </w:r>
      <w:r>
        <w:rPr>
          <w:rFonts w:cs="Times New Roman"/>
        </w:rPr>
        <w:t>Q</w:t>
      </w:r>
      <w:r>
        <w:rPr>
          <w:rFonts w:cs="Times New Roman"/>
          <w:lang w:val="ru-RU"/>
        </w:rPr>
        <w:t xml:space="preserve">1, и </w:t>
      </w:r>
      <w:r>
        <w:rPr>
          <w:rFonts w:cs="Times New Roman"/>
        </w:rPr>
        <w:t>Q</w:t>
      </w:r>
      <w:r>
        <w:rPr>
          <w:rFonts w:cs="Times New Roman"/>
          <w:lang w:val="ru-RU"/>
        </w:rPr>
        <w:t>3 равны нулю, и граница тоже получается нулевой. По такому правилу выбросом оказался бы любой, кто хоть раз начинал оформлять заказ. Колонка оставлена без изменений.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Пропуски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Пропуски есть только в средних значениях и долях: длительность сессии — 38,9%, конверсия чекаута — 75,8%, доля отменённых и возвращённых заказов — 89,9%, открываемость уведомлений — 27,7%, средний рейтинг — 98,7%. Каждый такой пропуск значит, что считать было не из чего: не было сессий, не начиналось оформление, не было заказов, не приходили уведомления, не было отзывов.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Таким образом, пропуски не заполнялись. 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10. Гипотезы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Гипотеза 1. Неудачная оплата повышает вероятность обращения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Пользователь хотел заплатить, не получилось, деньги могли списаться или зависнуть. Это один из самых типичных поводов написать в поддержку. 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Гипотеза подтвердилась: среди 118 пользователей с отказом оплаты обратились 14, это 11,9%, у остальных — 5,3%.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Бизнес смысл: сразу после неудачной оплаты можно показывать, что делать дальше — другой способ оплаты, вернутся ли деньги. Часть обращений так снимается ещё до того, как человек напишет в поддержку.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Гипотеза 2. Чем больше доля отменённых и возвращённых заказов, тем выше вероятность обращения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Отмена или возврат — признак того, что с заказом что-то пошло не так, а возврат часто даже и оформить нельзя без поддержки. Ожидалась прямая зависимость. Если бы она нашлась, пользователям после отмены или возврата можно было бы сразу присылать понятную инструкцию.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Гипотеза не подтвердилась. У обратившихся доля отмен 8,8%, у остальных 9,4%. </w:t>
      </w:r>
      <w:r>
        <w:rPr>
          <w:rFonts w:cs="Times New Roman"/>
        </w:rPr>
      </w:r>
      <w:r>
        <w:rPr>
          <w:rFonts w:cs="Times New Roman"/>
          <w:lang w:val="ru-RU"/>
        </w:rPr>
        <w:t>Заказы за 30 дней были всего у 955 человек (из них обращались 85), и у большинства в обеих группах отмен нет совсем.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Гипотеза 3. Низкая конверсия чекаута повышает вероятность обращения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Предположение было следующее: если человек несколько раз начинает оформлять заказ и не доходит до покупки,  значит ему что-то мешает — ошибка, неудобная форма, непонятная доставка, — и рано или поздно он об этом спросит, создав обращени. Ожидалась обратная зависимость: ниже конверсия — выше риск. Практическая польза была бы в подсказке или быстром чате поддержки прямо на шаге оформления.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Результат противоположный. У обратившихся конверсия выше: 16,5% против 14,8%. </w:t>
      </w:r>
      <w:r>
        <w:rPr>
          <w:rFonts w:cs="Times New Roman"/>
        </w:rPr>
      </w:r>
      <w:r>
        <w:rPr>
          <w:rFonts w:cs="Times New Roman"/>
          <w:lang w:val="ru-RU"/>
        </w:rPr>
        <w:t>Возможное объяснение: основные вопросы появляются уже после покупки — доставка, списание, возврат, — а тот, кто не завершил оформление, скорее просто уходит и ничего не пишет. Если это так, внимание стоит обращать не на незавершённые оформления, а на то, что происходит после оплаты.</w:t>
      </w:r>
    </w:p>
    <w:p>
      <w:pPr>
        <w:pStyle w:val="Heading3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 xml:space="preserve">Гипотеза 4. Кто чаще открывает </w:t>
      </w:r>
      <w:r>
        <w:rPr>
          <w:rFonts w:cs="Times New Roman" w:ascii="Times New Roman" w:hAnsi="Times New Roman"/>
          <w:color w:val="auto"/>
        </w:rPr>
        <w:t>push</w:t>
      </w:r>
      <w:r>
        <w:rPr>
          <w:rFonts w:cs="Times New Roman" w:ascii="Times New Roman" w:hAnsi="Times New Roman"/>
          <w:color w:val="auto"/>
          <w:lang w:val="ru-RU"/>
        </w:rPr>
        <w:t>-уведомления, тот чаще обращается в поддержку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Гипотеза потдвердилась. По гистограмме видно, откуда разница: среди обратившихся меньше тех, кто не открыл ни одного уведомления (35,7% против 45,7%), и больше тех, кто открыл все (16,8% против 10,8%).</w:t>
      </w:r>
    </w:p>
    <w:p>
      <w:pPr>
        <w:pStyle w:val="Heading2"/>
        <w:ind w:firstLine="567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lang w:val="ru-RU"/>
        </w:rPr>
        <w:t>11. Итог</w:t>
      </w:r>
    </w:p>
    <w:p>
      <w:pPr>
        <w:pStyle w:val="Normal"/>
        <w:ind w:firstLine="567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Из четырёх гипотез две подтвердились (отказы оплаты и открываемость уведомлений)</w:t>
      </w:r>
    </w:p>
    <w:p>
      <w:pPr>
        <w:pStyle w:val="Normal"/>
        <w:spacing w:before="0" w:after="200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418" w:right="1608" w:gutter="0" w:header="0" w:top="426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IndexHeading">
    <w:name w:val="Index Heading"/>
    <w:basedOn w:val="Title"/>
    <w:pPr/>
    <w:rPr/>
  </w:style>
  <w:style w:type="paragraph" w:styleId="Style14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15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4">
    <w:name w:val="Light Shading"/>
    <w:basedOn w:val="a3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9">
    <w:name w:val="Colorful List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81C424-3AF3-40F2-B74B-FD731E9FA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LibreOffice/24.2.4.2$Windows_X86_64 LibreOffice_project/51a6219feb6075d9a4c46691dcfe0cd9c4fff3c2</Application>
  <AppVersion>15.0000</AppVersion>
  <Pages>6</Pages>
  <Words>1024</Words>
  <Characters>6900</Characters>
  <CharactersWithSpaces>7895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dc:description/>
  <cp:lastModifiedBy/>
  <cp:revision>8</cp:revision>
  <dcterms:created xsi:type="dcterms:W3CDTF">2026-09-07T20:58:00Z</dcterms:created>
  <dcterms:modified xsi:type="dcterms:W3CDTF">2026-09-12T11:23:43Z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