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E6" w:rsidRDefault="00B560E6" w:rsidP="00B560E6">
      <w:pPr>
        <w:shd w:val="clear" w:color="auto" w:fill="FFFFFF"/>
      </w:pPr>
      <w:r>
        <w:t xml:space="preserve">Faculty interview, Department of Physics at the University of Illinois at Urbana Champaign, October 2007, available at </w:t>
      </w:r>
      <w:hyperlink r:id="rId6" w:history="1">
        <w:r>
          <w:rPr>
            <w:rStyle w:val="Hyperlink"/>
          </w:rPr>
          <w:t>https://van.physics.illinois.edu/qa/listing.php?id=948&amp;t=tennis-courts</w:t>
        </w:r>
      </w:hyperlink>
    </w:p>
    <w:p w:rsidR="00B560E6" w:rsidRDefault="00B560E6" w:rsidP="00B560E6">
      <w:r>
        <w:t xml:space="preserve">Editorial, “The Quick and the Dead – how to adapt to different surfaces and conditions”, </w:t>
      </w:r>
      <w:r>
        <w:rPr>
          <w:i/>
        </w:rPr>
        <w:t>The Guardian</w:t>
      </w:r>
      <w:r>
        <w:t xml:space="preserve">, June 2009, available at </w:t>
      </w:r>
      <w:hyperlink r:id="rId7" w:history="1">
        <w:r>
          <w:rPr>
            <w:rStyle w:val="Hyperlink"/>
          </w:rPr>
          <w:t>https://www.theguardian.com/lifeandstyle/2009/jun/28/tennis-adapt-surfaces-conditions</w:t>
        </w:r>
      </w:hyperlink>
    </w:p>
    <w:p w:rsidR="00B560E6" w:rsidRDefault="00B560E6" w:rsidP="00B560E6">
      <w:pPr>
        <w:pStyle w:val="Heading1"/>
        <w:shd w:val="clear" w:color="auto" w:fill="FFFFFF"/>
        <w:spacing w:before="375" w:after="188"/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21B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Felix, </w:t>
      </w:r>
      <w:proofErr w:type="spellStart"/>
      <w:r w:rsidRPr="00321B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Ioonna</w:t>
      </w:r>
      <w:proofErr w:type="spellEnd"/>
      <w:r w:rsidRPr="00321B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>
        <w:t xml:space="preserve"> </w:t>
      </w:r>
      <w:r w:rsidRPr="00321B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“How Playing Tennis in Different Regions Impact Joints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”, </w:t>
      </w:r>
      <w:r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official website for the Hospital for Specialty Surgery (HSS)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January 2016, available at </w:t>
      </w:r>
      <w:hyperlink r:id="rId8" w:history="1">
        <w:r w:rsidRPr="00321B32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https://www.hss.edu/playbook/how-playing-tennis-in-different-regions-impact-joints/</w:t>
        </w:r>
      </w:hyperlink>
    </w:p>
    <w:p w:rsidR="00C96CA9" w:rsidRDefault="00C96CA9" w:rsidP="00C96CA9">
      <w:pPr>
        <w:shd w:val="clear" w:color="auto" w:fill="FFFFFF"/>
      </w:pPr>
      <w:proofErr w:type="spellStart"/>
      <w:r>
        <w:t>Rossingh</w:t>
      </w:r>
      <w:proofErr w:type="spellEnd"/>
      <w:r>
        <w:t xml:space="preserve">, Danielle, “Travel </w:t>
      </w:r>
      <w:proofErr w:type="gramStart"/>
      <w:r>
        <w:t>Like</w:t>
      </w:r>
      <w:proofErr w:type="gramEnd"/>
      <w:r>
        <w:t xml:space="preserve"> a Tennis Pro: Jet Lag, Delays, and private Jets (If You Are Lucky)”, </w:t>
      </w:r>
      <w:r>
        <w:rPr>
          <w:i/>
        </w:rPr>
        <w:t xml:space="preserve">CNN online, </w:t>
      </w:r>
      <w:r>
        <w:t xml:space="preserve">November 2016, available at </w:t>
      </w:r>
      <w:hyperlink r:id="rId9" w:history="1">
        <w:r>
          <w:rPr>
            <w:rStyle w:val="Hyperlink"/>
          </w:rPr>
          <w:t>https://www.cnn.com/2016/11/22/tennis/tennis-travel-story/index.html</w:t>
        </w:r>
      </w:hyperlink>
    </w:p>
    <w:p w:rsidR="00C96CA9" w:rsidRDefault="00C96CA9" w:rsidP="00C96CA9">
      <w:pPr>
        <w:shd w:val="clear" w:color="auto" w:fill="FFFFFF"/>
      </w:pPr>
      <w:proofErr w:type="spellStart"/>
      <w:r>
        <w:t>Livaudais</w:t>
      </w:r>
      <w:proofErr w:type="spellEnd"/>
      <w:r>
        <w:t>, Stephanie, “</w:t>
      </w:r>
      <w:proofErr w:type="spellStart"/>
      <w:r>
        <w:t>Schmiedlova</w:t>
      </w:r>
      <w:proofErr w:type="spellEnd"/>
      <w:r>
        <w:t xml:space="preserve"> overcomes ‘big pressure’ to reach Bogota final”, </w:t>
      </w:r>
      <w:r>
        <w:rPr>
          <w:i/>
        </w:rPr>
        <w:t>WTA Online</w:t>
      </w:r>
      <w:r>
        <w:t xml:space="preserve">, April 2018, </w:t>
      </w:r>
      <w:proofErr w:type="spellStart"/>
      <w:r>
        <w:t>aavailable</w:t>
      </w:r>
      <w:proofErr w:type="spellEnd"/>
      <w:r>
        <w:t xml:space="preserve"> at </w:t>
      </w:r>
      <w:hyperlink r:id="rId10" w:history="1">
        <w:r>
          <w:rPr>
            <w:rStyle w:val="Hyperlink"/>
          </w:rPr>
          <w:t>https://www.wtatennis.com/news/schmiedlova-overcomes-big-pressure-reach-bogota-final</w:t>
        </w:r>
      </w:hyperlink>
    </w:p>
    <w:p w:rsidR="00C96CA9" w:rsidRDefault="00C96CA9" w:rsidP="00C96CA9">
      <w:pPr>
        <w:shd w:val="clear" w:color="auto" w:fill="FFFFFF"/>
      </w:pPr>
      <w:proofErr w:type="spellStart"/>
      <w:r>
        <w:t>Kimmelman</w:t>
      </w:r>
      <w:proofErr w:type="spellEnd"/>
      <w:r>
        <w:t xml:space="preserve">, Dennis, “How Power Has Transformed Women’s Tennis”, </w:t>
      </w:r>
      <w:r>
        <w:rPr>
          <w:i/>
        </w:rPr>
        <w:t xml:space="preserve">The New York Times, </w:t>
      </w:r>
      <w:r>
        <w:t xml:space="preserve">August 2010, available </w:t>
      </w:r>
      <w:proofErr w:type="gramStart"/>
      <w:r>
        <w:t xml:space="preserve">at  </w:t>
      </w:r>
      <w:proofErr w:type="gramEnd"/>
      <w:r>
        <w:fldChar w:fldCharType="begin"/>
      </w:r>
      <w:r>
        <w:instrText xml:space="preserve"> HYPERLINK "https://www.nytimes.com/2010/08/29/magazine/29Tennis-t.html?mtrref=www.google.com&amp;gwh=8618CDFB4D2D8DB9B895A133287AA6BE&amp;gwt=pay" </w:instrText>
      </w:r>
      <w:r>
        <w:fldChar w:fldCharType="separate"/>
      </w:r>
      <w:r>
        <w:rPr>
          <w:rStyle w:val="Hyperlink"/>
        </w:rPr>
        <w:t>https://www.nytimes.com/2010/08/29/magazine/29Tennis-t.html?mtrref=www.google.com&amp;gwh=8618CDFB4D2D8DB9B895A133287AA6BE&amp;gwt=pay</w:t>
      </w:r>
      <w:r>
        <w:fldChar w:fldCharType="end"/>
      </w:r>
    </w:p>
    <w:p w:rsidR="00C96CA9" w:rsidRDefault="00C96CA9" w:rsidP="00C96CA9">
      <w:pPr>
        <w:shd w:val="clear" w:color="auto" w:fill="FFFFFF"/>
      </w:pPr>
      <w:proofErr w:type="spellStart"/>
      <w:r>
        <w:t>Perrotta</w:t>
      </w:r>
      <w:proofErr w:type="spellEnd"/>
      <w:r>
        <w:t xml:space="preserve">, Tom, “There Are No Easy Matches in Women’s Tennis Any More”, </w:t>
      </w:r>
      <w:r>
        <w:rPr>
          <w:i/>
        </w:rPr>
        <w:t>FiveThirtyEight</w:t>
      </w:r>
      <w:r>
        <w:t xml:space="preserve">, July 2017, available at </w:t>
      </w:r>
      <w:hyperlink r:id="rId11" w:history="1">
        <w:r>
          <w:rPr>
            <w:rStyle w:val="Hyperlink"/>
          </w:rPr>
          <w:t>https://fivethirtyeight.com/features/there-are-no-easy-matches-in-womens-tennis-anymore/</w:t>
        </w:r>
      </w:hyperlink>
    </w:p>
    <w:p w:rsidR="00C90420" w:rsidRDefault="00C96CA9" w:rsidP="00C96CA9">
      <w:pPr>
        <w:shd w:val="clear" w:color="auto" w:fill="FFFFFF"/>
      </w:pPr>
      <w:r>
        <w:t xml:space="preserve">Nguyen, Courtney, “Australian Open 2019: Eleven Players Vying for No.1 Spot in Melbourne”, </w:t>
      </w:r>
      <w:r>
        <w:rPr>
          <w:i/>
        </w:rPr>
        <w:t>WTA online,</w:t>
      </w:r>
      <w:r w:rsidRPr="000F4BFE">
        <w:t xml:space="preserve"> January 2019, available at</w:t>
      </w:r>
      <w:r>
        <w:rPr>
          <w:i/>
        </w:rPr>
        <w:t xml:space="preserve"> </w:t>
      </w:r>
      <w:hyperlink r:id="rId12" w:history="1">
        <w:r>
          <w:rPr>
            <w:rStyle w:val="Hyperlink"/>
          </w:rPr>
          <w:t>https://www.wtatennis.com/news/australian-open-2019-eleven-players-vying-no1-spot-melbourne</w:t>
        </w:r>
      </w:hyperlink>
    </w:p>
    <w:p w:rsidR="00C96CA9" w:rsidRDefault="00C96CA9" w:rsidP="00C96CA9">
      <w:pPr>
        <w:shd w:val="clear" w:color="auto" w:fill="FFFFFF"/>
      </w:pPr>
      <w:proofErr w:type="spellStart"/>
      <w:r>
        <w:t>Tignor</w:t>
      </w:r>
      <w:proofErr w:type="spellEnd"/>
      <w:r>
        <w:t xml:space="preserve">, Steve, “The WTA in 2019: Are Fans Ready to Embrace Depth Rather Than Dominance”, </w:t>
      </w:r>
      <w:proofErr w:type="spellStart"/>
      <w:r>
        <w:rPr>
          <w:i/>
        </w:rPr>
        <w:t>Tennis.com¸</w:t>
      </w:r>
      <w:r w:rsidRPr="000F4BFE">
        <w:t>December</w:t>
      </w:r>
      <w:proofErr w:type="spellEnd"/>
      <w:r w:rsidRPr="000F4BFE">
        <w:t xml:space="preserve"> 2018, available </w:t>
      </w:r>
      <w:proofErr w:type="gramStart"/>
      <w:r w:rsidRPr="000F4BFE">
        <w:t>at</w:t>
      </w:r>
      <w:r>
        <w:t xml:space="preserve">  </w:t>
      </w:r>
      <w:proofErr w:type="gramEnd"/>
      <w:hyperlink r:id="rId13" w:history="1">
        <w:r>
          <w:rPr>
            <w:rStyle w:val="Hyperlink"/>
          </w:rPr>
          <w:t>http://www.tennis.com/pro-game/2018/12/depth-perception-are-fans-ready-embrace-variety-womens-game/78462/</w:t>
        </w:r>
      </w:hyperlink>
    </w:p>
    <w:p w:rsidR="00E4688B" w:rsidRDefault="00AB529C" w:rsidP="00E4688B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AB529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Koning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 Ruud,</w:t>
      </w:r>
      <w:r w:rsidRPr="00AB529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Home advantage in professional tennis, </w:t>
      </w:r>
      <w:r w:rsidRPr="00AB529C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</w:rPr>
        <w:t>Journal of Sports Sciences</w:t>
      </w:r>
      <w:r w:rsidRPr="00AB529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 29:1, 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pp. </w:t>
      </w:r>
      <w:r w:rsidRPr="00AB529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19-27,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2011</w:t>
      </w:r>
    </w:p>
    <w:p w:rsidR="00E4688B" w:rsidRPr="00E4688B" w:rsidRDefault="00E4688B" w:rsidP="00E4688B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4688B" w:rsidRDefault="00E4688B" w:rsidP="00587C2D">
      <w:pPr>
        <w:pStyle w:val="Heading1"/>
        <w:shd w:val="clear" w:color="auto" w:fill="FFFFFF"/>
        <w:spacing w:before="0"/>
        <w:rPr>
          <w:rFonts w:asciiTheme="minorHAnsi" w:hAnsiTheme="minorHAnsi"/>
          <w:b w:val="0"/>
          <w:sz w:val="22"/>
          <w:szCs w:val="22"/>
        </w:rPr>
      </w:pPr>
      <w:proofErr w:type="spellStart"/>
      <w:r w:rsidRPr="00AB52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Popovic</w:t>
      </w:r>
      <w:proofErr w:type="spellEnd"/>
      <w:r w:rsidRPr="00AB52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AB52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Nadja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, “</w:t>
      </w:r>
      <w:r w:rsidRPr="00AB52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Battle of the sexes: charting how women in tennis achieved equal pay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”</w:t>
      </w:r>
      <w:r w:rsidRPr="00AB52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>
        <w:rPr>
          <w:rFonts w:ascii="Georgia" w:hAnsi="Georgia"/>
          <w:color w:val="005689"/>
        </w:rPr>
        <w:t xml:space="preserve"> </w:t>
      </w:r>
      <w:r w:rsidRPr="0086267D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The </w:t>
      </w:r>
      <w:proofErr w:type="spellStart"/>
      <w:r w:rsidRPr="0086267D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Guradian</w:t>
      </w:r>
      <w:proofErr w:type="spellEnd"/>
      <w:r w:rsidRPr="0086267D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September 2015, available at </w:t>
      </w:r>
      <w:hyperlink r:id="rId14" w:history="1">
        <w:r w:rsidRPr="0086267D">
          <w:rPr>
            <w:rStyle w:val="Hyperlink"/>
            <w:rFonts w:asciiTheme="minorHAnsi" w:hAnsiTheme="minorHAnsi"/>
            <w:b w:val="0"/>
            <w:sz w:val="22"/>
            <w:szCs w:val="22"/>
          </w:rPr>
          <w:t>https://www.theguardian.com/sport/2015/sep/11/how-women-in-tennis-achieved-equal-pay-us-open</w:t>
        </w:r>
      </w:hyperlink>
    </w:p>
    <w:p w:rsidR="00587C2D" w:rsidRDefault="00587C2D" w:rsidP="00E4688B">
      <w:pPr>
        <w:shd w:val="clear" w:color="auto" w:fill="FFFFFF"/>
      </w:pPr>
    </w:p>
    <w:p w:rsidR="00E4688B" w:rsidRPr="00E4688B" w:rsidRDefault="00E4688B" w:rsidP="00E4688B">
      <w:pPr>
        <w:shd w:val="clear" w:color="auto" w:fill="FFFFFF"/>
      </w:pPr>
      <w:r>
        <w:lastRenderedPageBreak/>
        <w:t xml:space="preserve">Jericho, Greg, “Tennis Players Want More Money? It’s not as absurd as it sounds”, </w:t>
      </w:r>
      <w:r>
        <w:rPr>
          <w:i/>
        </w:rPr>
        <w:t>The Guardian</w:t>
      </w:r>
      <w:r>
        <w:t xml:space="preserve">, January 2018, available at </w:t>
      </w:r>
      <w:hyperlink r:id="rId15" w:history="1">
        <w:r>
          <w:rPr>
            <w:rStyle w:val="Hyperlink"/>
          </w:rPr>
          <w:t>https://www.theguardian.com/business/grogonomics/2018/jan/18/tennis-players-want-more-money-its-not-as-absurd-as-it-sounds</w:t>
        </w:r>
      </w:hyperlink>
    </w:p>
    <w:p w:rsidR="00587C2D" w:rsidRDefault="00587C2D" w:rsidP="0086267D">
      <w:pPr>
        <w:shd w:val="clear" w:color="auto" w:fill="FFFFFF"/>
        <w:spacing w:after="0" w:line="240" w:lineRule="auto"/>
        <w:rPr>
          <w:vertAlign w:val="superscript"/>
        </w:rPr>
      </w:pPr>
    </w:p>
    <w:p w:rsidR="00587C2D" w:rsidRPr="00E3351E" w:rsidRDefault="00587C2D" w:rsidP="00587C2D">
      <w:r>
        <w:t>Foley, Katherine Ellen,</w:t>
      </w:r>
      <w:r w:rsidRPr="006719B1">
        <w:t> Dan Kopf</w:t>
      </w:r>
      <w:r>
        <w:t xml:space="preserve"> </w:t>
      </w:r>
      <w:r w:rsidRPr="006719B1">
        <w:t>September 2018</w:t>
      </w:r>
      <w:r>
        <w:t xml:space="preserve">, “Tennis has evolved and the 30s are the new 20s”, </w:t>
      </w:r>
      <w:r>
        <w:rPr>
          <w:i/>
        </w:rPr>
        <w:t>Quartz</w:t>
      </w:r>
      <w:r>
        <w:t xml:space="preserve">, available at </w:t>
      </w:r>
      <w:hyperlink r:id="rId16" w:history="1">
        <w:r>
          <w:rPr>
            <w:rStyle w:val="Hyperlink"/>
          </w:rPr>
          <w:t>https://qz.com/1379932/the-2018-us-open-makes-it-clear-tennis-has-evolved-and-the-30s-are-the-new-20s/</w:t>
        </w:r>
      </w:hyperlink>
    </w:p>
    <w:p w:rsidR="00587C2D" w:rsidRDefault="00587C2D" w:rsidP="0086267D">
      <w:pPr>
        <w:shd w:val="clear" w:color="auto" w:fill="FFFFFF"/>
        <w:spacing w:after="0" w:line="240" w:lineRule="auto"/>
        <w:rPr>
          <w:vertAlign w:val="superscript"/>
        </w:rPr>
      </w:pPr>
    </w:p>
    <w:p w:rsidR="0086267D" w:rsidRDefault="0086267D" w:rsidP="0086267D">
      <w:pPr>
        <w:shd w:val="clear" w:color="auto" w:fill="FFFFFF"/>
        <w:spacing w:after="0" w:line="240" w:lineRule="auto"/>
      </w:pPr>
      <w:r w:rsidRPr="0086267D">
        <w:t>Sutter</w:t>
      </w:r>
      <w:r>
        <w:t>, Andreas</w:t>
      </w:r>
      <w:r w:rsidRPr="0086267D">
        <w:t xml:space="preserve">, Sam Barton, Manmohan Dev Sharma, </w:t>
      </w:r>
      <w:proofErr w:type="spellStart"/>
      <w:r w:rsidRPr="0086267D">
        <w:t>Ugofilippo</w:t>
      </w:r>
      <w:proofErr w:type="spellEnd"/>
      <w:r w:rsidRPr="0086267D">
        <w:t xml:space="preserve"> </w:t>
      </w:r>
      <w:proofErr w:type="spellStart"/>
      <w:r w:rsidRPr="0086267D">
        <w:t>Basellini</w:t>
      </w:r>
      <w:proofErr w:type="spellEnd"/>
      <w:r w:rsidRPr="0086267D">
        <w:t xml:space="preserve">, David J </w:t>
      </w:r>
      <w:proofErr w:type="spellStart"/>
      <w:r w:rsidRPr="0086267D">
        <w:t>Hosken</w:t>
      </w:r>
      <w:proofErr w:type="spellEnd"/>
      <w:r w:rsidRPr="0086267D">
        <w:t>, C Ruth Archer. </w:t>
      </w:r>
      <w:r>
        <w:t>“</w:t>
      </w:r>
      <w:r w:rsidRPr="0086267D">
        <w:t>Senescent declines in elite tennis players are similar across the sexes</w:t>
      </w:r>
      <w:r>
        <w:t>”</w:t>
      </w:r>
      <w:r w:rsidRPr="0086267D">
        <w:t>. </w:t>
      </w:r>
      <w:r w:rsidRPr="0086267D">
        <w:rPr>
          <w:i/>
        </w:rPr>
        <w:t>Behavioral Ecology</w:t>
      </w:r>
      <w:r>
        <w:t xml:space="preserve">, 2018, reported by the Science Daily at </w:t>
      </w:r>
      <w:hyperlink r:id="rId17" w:history="1">
        <w:r>
          <w:rPr>
            <w:rStyle w:val="Hyperlink"/>
          </w:rPr>
          <w:t>https://www.sciencedaily.com/releases/2018/08/180829115534.htm</w:t>
        </w:r>
      </w:hyperlink>
    </w:p>
    <w:p w:rsidR="00C96CA9" w:rsidRDefault="00C96CA9" w:rsidP="0086267D">
      <w:pPr>
        <w:shd w:val="clear" w:color="auto" w:fill="FFFFFF"/>
        <w:spacing w:after="0" w:line="240" w:lineRule="auto"/>
      </w:pPr>
    </w:p>
    <w:p w:rsidR="00E3351E" w:rsidRPr="00E3351E" w:rsidRDefault="00E3351E" w:rsidP="0086267D">
      <w:pPr>
        <w:shd w:val="clear" w:color="auto" w:fill="FFFFFF"/>
        <w:spacing w:after="0" w:line="240" w:lineRule="auto"/>
      </w:pPr>
      <w:bookmarkStart w:id="0" w:name="_GoBack"/>
      <w:bookmarkEnd w:id="0"/>
      <w:r>
        <w:t xml:space="preserve">Soong, </w:t>
      </w:r>
      <w:proofErr w:type="spellStart"/>
      <w:r>
        <w:t>Kelyn</w:t>
      </w:r>
      <w:proofErr w:type="spellEnd"/>
      <w:r>
        <w:t>, “</w:t>
      </w:r>
      <w:r w:rsidRPr="00E3351E">
        <w:t>Pro tennis players’ good habits are prolonging their careers. The average athlete can learn from them</w:t>
      </w:r>
      <w:r>
        <w:t xml:space="preserve">”. </w:t>
      </w:r>
      <w:r>
        <w:rPr>
          <w:i/>
        </w:rPr>
        <w:t>The Washington Post</w:t>
      </w:r>
      <w:r>
        <w:t>, August 2017, available at</w:t>
      </w:r>
    </w:p>
    <w:p w:rsidR="00E3351E" w:rsidRPr="00E3351E" w:rsidRDefault="00C90420" w:rsidP="0086267D">
      <w:pPr>
        <w:shd w:val="clear" w:color="auto" w:fill="FFFFFF"/>
        <w:spacing w:after="0" w:line="240" w:lineRule="auto"/>
      </w:pPr>
      <w:hyperlink r:id="rId18" w:history="1">
        <w:r w:rsidR="00E3351E">
          <w:rPr>
            <w:rStyle w:val="Hyperlink"/>
          </w:rPr>
          <w:t>https://www.washingtonpost.com/lifestyle/wellness/pro-tennis-players-good-habits-are-prolonging-their-careers-the-average-athlete-can-learn-from-them/2017/08/02/8964c9a0-77ab-11e7-9eac-d56bd5568db8_story.html?utm_term=.e83f8f2c1b63</w:t>
        </w:r>
      </w:hyperlink>
    </w:p>
    <w:p w:rsidR="0086267D" w:rsidRDefault="0086267D" w:rsidP="0086267D"/>
    <w:p w:rsidR="00E4688B" w:rsidRDefault="00E4688B" w:rsidP="0086267D"/>
    <w:p w:rsidR="00321B32" w:rsidRDefault="00321B32" w:rsidP="0086267D"/>
    <w:p w:rsidR="00321B32" w:rsidRDefault="00321B32" w:rsidP="0086267D"/>
    <w:p w:rsidR="00321B32" w:rsidRPr="00321B32" w:rsidRDefault="00321B32" w:rsidP="0086267D"/>
    <w:sectPr w:rsidR="00321B32" w:rsidRPr="0032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65CB"/>
    <w:multiLevelType w:val="multilevel"/>
    <w:tmpl w:val="D1BA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00FAC"/>
    <w:multiLevelType w:val="hybridMultilevel"/>
    <w:tmpl w:val="DCF42A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7703F8"/>
    <w:multiLevelType w:val="hybridMultilevel"/>
    <w:tmpl w:val="1904F8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17727D"/>
    <w:multiLevelType w:val="hybridMultilevel"/>
    <w:tmpl w:val="0EB0C8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B348D0"/>
    <w:multiLevelType w:val="hybridMultilevel"/>
    <w:tmpl w:val="B3488476"/>
    <w:lvl w:ilvl="0" w:tplc="114024C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3473B0"/>
    <w:multiLevelType w:val="hybridMultilevel"/>
    <w:tmpl w:val="D5B65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22444"/>
    <w:multiLevelType w:val="hybridMultilevel"/>
    <w:tmpl w:val="F914F50A"/>
    <w:lvl w:ilvl="0" w:tplc="6A26B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1797C"/>
    <w:multiLevelType w:val="hybridMultilevel"/>
    <w:tmpl w:val="97728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771CD"/>
    <w:multiLevelType w:val="hybridMultilevel"/>
    <w:tmpl w:val="173CC91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95E4EFE"/>
    <w:multiLevelType w:val="hybridMultilevel"/>
    <w:tmpl w:val="B3488476"/>
    <w:lvl w:ilvl="0" w:tplc="114024C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9829FE"/>
    <w:multiLevelType w:val="hybridMultilevel"/>
    <w:tmpl w:val="48F09D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8A2207"/>
    <w:multiLevelType w:val="hybridMultilevel"/>
    <w:tmpl w:val="4112A1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BF6F04"/>
    <w:multiLevelType w:val="hybridMultilevel"/>
    <w:tmpl w:val="B3488476"/>
    <w:lvl w:ilvl="0" w:tplc="114024C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03"/>
    <w:rsid w:val="00052BB1"/>
    <w:rsid w:val="000826BC"/>
    <w:rsid w:val="000C334F"/>
    <w:rsid w:val="000E406E"/>
    <w:rsid w:val="000F44C5"/>
    <w:rsid w:val="000F4BFE"/>
    <w:rsid w:val="00113CFD"/>
    <w:rsid w:val="001179C3"/>
    <w:rsid w:val="00140191"/>
    <w:rsid w:val="00156EEC"/>
    <w:rsid w:val="001934B2"/>
    <w:rsid w:val="001B742B"/>
    <w:rsid w:val="001E1912"/>
    <w:rsid w:val="001F5844"/>
    <w:rsid w:val="00297C27"/>
    <w:rsid w:val="002B7F2C"/>
    <w:rsid w:val="002D250E"/>
    <w:rsid w:val="002F752A"/>
    <w:rsid w:val="003068D2"/>
    <w:rsid w:val="00321B32"/>
    <w:rsid w:val="00351E84"/>
    <w:rsid w:val="0035458D"/>
    <w:rsid w:val="00391EF5"/>
    <w:rsid w:val="003E4054"/>
    <w:rsid w:val="00400100"/>
    <w:rsid w:val="00454207"/>
    <w:rsid w:val="00460ED6"/>
    <w:rsid w:val="00465364"/>
    <w:rsid w:val="004C5384"/>
    <w:rsid w:val="004D6863"/>
    <w:rsid w:val="005043E7"/>
    <w:rsid w:val="0050705E"/>
    <w:rsid w:val="00587C2D"/>
    <w:rsid w:val="005E7CDB"/>
    <w:rsid w:val="006719B1"/>
    <w:rsid w:val="00676996"/>
    <w:rsid w:val="0069225C"/>
    <w:rsid w:val="00712B1C"/>
    <w:rsid w:val="00716AF7"/>
    <w:rsid w:val="00790A2E"/>
    <w:rsid w:val="007B07AD"/>
    <w:rsid w:val="007D56E5"/>
    <w:rsid w:val="00824D8C"/>
    <w:rsid w:val="00836454"/>
    <w:rsid w:val="008560BD"/>
    <w:rsid w:val="0086267D"/>
    <w:rsid w:val="00885E03"/>
    <w:rsid w:val="00890CE1"/>
    <w:rsid w:val="008A29A9"/>
    <w:rsid w:val="00913356"/>
    <w:rsid w:val="00922811"/>
    <w:rsid w:val="00986A78"/>
    <w:rsid w:val="009A18DD"/>
    <w:rsid w:val="009A7010"/>
    <w:rsid w:val="009D6BF7"/>
    <w:rsid w:val="009F519F"/>
    <w:rsid w:val="00A03304"/>
    <w:rsid w:val="00A20251"/>
    <w:rsid w:val="00A302D9"/>
    <w:rsid w:val="00A379BC"/>
    <w:rsid w:val="00A50585"/>
    <w:rsid w:val="00A55C0B"/>
    <w:rsid w:val="00A64B74"/>
    <w:rsid w:val="00AB4952"/>
    <w:rsid w:val="00AB529C"/>
    <w:rsid w:val="00AC4709"/>
    <w:rsid w:val="00AE3A2D"/>
    <w:rsid w:val="00AE4ED8"/>
    <w:rsid w:val="00B2504E"/>
    <w:rsid w:val="00B560E6"/>
    <w:rsid w:val="00BA511B"/>
    <w:rsid w:val="00BD12D0"/>
    <w:rsid w:val="00BE7239"/>
    <w:rsid w:val="00C173CD"/>
    <w:rsid w:val="00C90420"/>
    <w:rsid w:val="00C96CA9"/>
    <w:rsid w:val="00CC1D03"/>
    <w:rsid w:val="00D15C80"/>
    <w:rsid w:val="00D6170C"/>
    <w:rsid w:val="00D83012"/>
    <w:rsid w:val="00E15C89"/>
    <w:rsid w:val="00E3351E"/>
    <w:rsid w:val="00E466A8"/>
    <w:rsid w:val="00E4688B"/>
    <w:rsid w:val="00E55919"/>
    <w:rsid w:val="00E65D0C"/>
    <w:rsid w:val="00E75079"/>
    <w:rsid w:val="00E96AE4"/>
    <w:rsid w:val="00EA169F"/>
    <w:rsid w:val="00EB4B56"/>
    <w:rsid w:val="00ED44E4"/>
    <w:rsid w:val="00EF13C1"/>
    <w:rsid w:val="00EF640D"/>
    <w:rsid w:val="00F26B3D"/>
    <w:rsid w:val="00F44DFF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7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4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A70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7010"/>
    <w:rPr>
      <w:color w:val="0000FF"/>
      <w:u w:val="single"/>
    </w:rPr>
  </w:style>
  <w:style w:type="character" w:customStyle="1" w:styleId="authors">
    <w:name w:val="authors"/>
    <w:basedOn w:val="DefaultParagraphFont"/>
    <w:rsid w:val="00AB529C"/>
  </w:style>
  <w:style w:type="character" w:customStyle="1" w:styleId="Date1">
    <w:name w:val="Date1"/>
    <w:basedOn w:val="DefaultParagraphFont"/>
    <w:rsid w:val="00AB529C"/>
  </w:style>
  <w:style w:type="character" w:customStyle="1" w:styleId="arttitle">
    <w:name w:val="art_title"/>
    <w:basedOn w:val="DefaultParagraphFont"/>
    <w:rsid w:val="00AB529C"/>
  </w:style>
  <w:style w:type="character" w:customStyle="1" w:styleId="serialtitle">
    <w:name w:val="serial_title"/>
    <w:basedOn w:val="DefaultParagraphFont"/>
    <w:rsid w:val="00AB529C"/>
  </w:style>
  <w:style w:type="character" w:customStyle="1" w:styleId="volumeissue">
    <w:name w:val="volume_issue"/>
    <w:basedOn w:val="DefaultParagraphFont"/>
    <w:rsid w:val="00AB529C"/>
  </w:style>
  <w:style w:type="character" w:customStyle="1" w:styleId="pagerange">
    <w:name w:val="page_range"/>
    <w:basedOn w:val="DefaultParagraphFont"/>
    <w:rsid w:val="00AB529C"/>
  </w:style>
  <w:style w:type="character" w:customStyle="1" w:styleId="Heading1Char">
    <w:name w:val="Heading 1 Char"/>
    <w:basedOn w:val="DefaultParagraphFont"/>
    <w:link w:val="Heading1"/>
    <w:uiPriority w:val="9"/>
    <w:rsid w:val="00AB5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6267D"/>
    <w:rPr>
      <w:b/>
      <w:bCs/>
    </w:rPr>
  </w:style>
  <w:style w:type="character" w:styleId="Emphasis">
    <w:name w:val="Emphasis"/>
    <w:basedOn w:val="DefaultParagraphFont"/>
    <w:uiPriority w:val="20"/>
    <w:qFormat/>
    <w:rsid w:val="0086267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364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ection">
    <w:name w:val="section"/>
    <w:basedOn w:val="DefaultParagraphFont"/>
    <w:rsid w:val="00836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7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4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A70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7010"/>
    <w:rPr>
      <w:color w:val="0000FF"/>
      <w:u w:val="single"/>
    </w:rPr>
  </w:style>
  <w:style w:type="character" w:customStyle="1" w:styleId="authors">
    <w:name w:val="authors"/>
    <w:basedOn w:val="DefaultParagraphFont"/>
    <w:rsid w:val="00AB529C"/>
  </w:style>
  <w:style w:type="character" w:customStyle="1" w:styleId="Date1">
    <w:name w:val="Date1"/>
    <w:basedOn w:val="DefaultParagraphFont"/>
    <w:rsid w:val="00AB529C"/>
  </w:style>
  <w:style w:type="character" w:customStyle="1" w:styleId="arttitle">
    <w:name w:val="art_title"/>
    <w:basedOn w:val="DefaultParagraphFont"/>
    <w:rsid w:val="00AB529C"/>
  </w:style>
  <w:style w:type="character" w:customStyle="1" w:styleId="serialtitle">
    <w:name w:val="serial_title"/>
    <w:basedOn w:val="DefaultParagraphFont"/>
    <w:rsid w:val="00AB529C"/>
  </w:style>
  <w:style w:type="character" w:customStyle="1" w:styleId="volumeissue">
    <w:name w:val="volume_issue"/>
    <w:basedOn w:val="DefaultParagraphFont"/>
    <w:rsid w:val="00AB529C"/>
  </w:style>
  <w:style w:type="character" w:customStyle="1" w:styleId="pagerange">
    <w:name w:val="page_range"/>
    <w:basedOn w:val="DefaultParagraphFont"/>
    <w:rsid w:val="00AB529C"/>
  </w:style>
  <w:style w:type="character" w:customStyle="1" w:styleId="Heading1Char">
    <w:name w:val="Heading 1 Char"/>
    <w:basedOn w:val="DefaultParagraphFont"/>
    <w:link w:val="Heading1"/>
    <w:uiPriority w:val="9"/>
    <w:rsid w:val="00AB5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6267D"/>
    <w:rPr>
      <w:b/>
      <w:bCs/>
    </w:rPr>
  </w:style>
  <w:style w:type="character" w:styleId="Emphasis">
    <w:name w:val="Emphasis"/>
    <w:basedOn w:val="DefaultParagraphFont"/>
    <w:uiPriority w:val="20"/>
    <w:qFormat/>
    <w:rsid w:val="0086267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364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ection">
    <w:name w:val="section"/>
    <w:basedOn w:val="DefaultParagraphFont"/>
    <w:rsid w:val="0083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s.edu/playbook/how-playing-tennis-in-different-regions-impact-joints/" TargetMode="External"/><Relationship Id="rId13" Type="http://schemas.openxmlformats.org/officeDocument/2006/relationships/hyperlink" Target="http://www.tennis.com/pro-game/2018/12/depth-perception-are-fans-ready-embrace-variety-womens-game/78462/" TargetMode="External"/><Relationship Id="rId18" Type="http://schemas.openxmlformats.org/officeDocument/2006/relationships/hyperlink" Target="https://www.washingtonpost.com/lifestyle/wellness/pro-tennis-players-good-habits-are-prolonging-their-careers-the-average-athlete-can-learn-from-them/2017/08/02/8964c9a0-77ab-11e7-9eac-d56bd5568db8_story.html?utm_term=.e83f8f2c1b6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heguardian.com/lifeandstyle/2009/jun/28/tennis-adapt-surfaces-conditions" TargetMode="External"/><Relationship Id="rId12" Type="http://schemas.openxmlformats.org/officeDocument/2006/relationships/hyperlink" Target="https://www.wtatennis.com/news/australian-open-2019-eleven-players-vying-no1-spot-melbourne" TargetMode="External"/><Relationship Id="rId17" Type="http://schemas.openxmlformats.org/officeDocument/2006/relationships/hyperlink" Target="https://www.sciencedaily.com/releases/2018/08/180829115534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qz.com/1379932/the-2018-us-open-makes-it-clear-tennis-has-evolved-and-the-30s-are-the-new-20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n.physics.illinois.edu/qa/listing.php?id=948&amp;t=tennis-courts" TargetMode="External"/><Relationship Id="rId11" Type="http://schemas.openxmlformats.org/officeDocument/2006/relationships/hyperlink" Target="https://fivethirtyeight.com/features/there-are-no-easy-matches-in-womens-tennis-anymo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guardian.com/business/grogonomics/2018/jan/18/tennis-players-want-more-money-its-not-as-absurd-as-it-sounds" TargetMode="External"/><Relationship Id="rId10" Type="http://schemas.openxmlformats.org/officeDocument/2006/relationships/hyperlink" Target="https://www.wtatennis.com/news/schmiedlova-overcomes-big-pressure-reach-bogota-fin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n.com/2016/11/22/tennis/tennis-travel-story/index.html" TargetMode="External"/><Relationship Id="rId14" Type="http://schemas.openxmlformats.org/officeDocument/2006/relationships/hyperlink" Target="https://www.theguardian.com/sport/2015/sep/11/how-women-in-tennis-achieved-equal-pay-us-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Levi Strauss &amp; Co.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TRAYKOV, Kiril</dc:creator>
  <cp:lastModifiedBy>TRAYKOV, Kiril</cp:lastModifiedBy>
  <cp:revision>3</cp:revision>
  <cp:lastPrinted>2019-04-01T15:44:00Z</cp:lastPrinted>
  <dcterms:created xsi:type="dcterms:W3CDTF">2019-04-01T15:51:00Z</dcterms:created>
  <dcterms:modified xsi:type="dcterms:W3CDTF">2019-04-01T15:53:00Z</dcterms:modified>
</cp:coreProperties>
</file>