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5D5B5" w14:textId="77777777" w:rsidR="00015C2D" w:rsidRDefault="00000000">
      <w:pPr>
        <w:pStyle w:val="Heading1"/>
      </w:pPr>
      <w:bookmarkStart w:id="0" w:name="X5c3a67ba59ba5ce73b277d25654ead36741a24a"/>
      <w:r>
        <w:t>Comprehensive Evaluation and Expansion of Eye-Tracking Biomarkers for the NeuroKit VR Platform</w:t>
      </w:r>
    </w:p>
    <w:p w14:paraId="1D14544D" w14:textId="77777777" w:rsidR="00015C2D" w:rsidRDefault="00000000">
      <w:r>
        <w:rPr>
          <w:i/>
          <w:iCs/>
        </w:rPr>
        <w:t>Varjo XR-4 based evaluation for early-phase CNS pharmacodynamic research</w:t>
      </w:r>
    </w:p>
    <w:p w14:paraId="2FF2D5C1" w14:textId="77777777" w:rsidR="00015C2D" w:rsidRDefault="00000000">
      <w:pPr>
        <w:pStyle w:val="BodyText"/>
      </w:pPr>
      <w:r>
        <w:t>Centre for Human Drug Research (CHDR)</w:t>
      </w:r>
      <w:r>
        <w:br/>
        <w:t>Leiden, The Netherlands</w:t>
      </w:r>
    </w:p>
    <w:p w14:paraId="04976F8A" w14:textId="77777777" w:rsidR="00015C2D" w:rsidRDefault="00000000">
      <w:pPr>
        <w:pStyle w:val="Heading2"/>
      </w:pPr>
      <w:bookmarkStart w:id="1" w:name="contents"/>
      <w:r>
        <w:t>Contents</w:t>
      </w:r>
    </w:p>
    <w:p w14:paraId="409EC1CC" w14:textId="77777777" w:rsidR="00015C2D" w:rsidRDefault="00000000">
      <w:r>
        <w:t>Section 1 - Objective and decision framework</w:t>
      </w:r>
      <w:r>
        <w:br/>
        <w:t>Section 2 - Pharmacodynamic context and selection logic</w:t>
      </w:r>
      <w:r>
        <w:br/>
        <w:t>Section 3 - Scientific rationale for candidate eye-tracking measurements</w:t>
      </w:r>
      <w:r>
        <w:br/>
        <w:t>Section 4 - Technical feasibility on Varjo XR-4</w:t>
      </w:r>
      <w:r>
        <w:br/>
        <w:t>Section 5 - Proposed NeuroKit VR / Unity validation tasks</w:t>
      </w:r>
      <w:r>
        <w:br/>
        <w:t>Section 6 - Validation strategy</w:t>
      </w:r>
      <w:r>
        <w:br/>
        <w:t>Section 7 - Future separate direction: VR-SSVEP</w:t>
      </w:r>
      <w:r>
        <w:br/>
        <w:t>Section 8 - Final biomarker mapping and prioritization</w:t>
      </w:r>
      <w:r>
        <w:br/>
        <w:t>Section 9 - Conclusion</w:t>
      </w:r>
      <w:r>
        <w:br/>
        <w:t>Section 10 - References</w:t>
      </w:r>
    </w:p>
    <w:p w14:paraId="257D7F96" w14:textId="77777777" w:rsidR="00015C2D" w:rsidRDefault="00000000">
      <w:pPr>
        <w:pStyle w:val="Heading1"/>
      </w:pPr>
      <w:bookmarkStart w:id="2" w:name="X9dc3db4236e3157a5bda58e1377c6a78862e558"/>
      <w:bookmarkEnd w:id="0"/>
      <w:bookmarkEnd w:id="1"/>
      <w:r>
        <w:t>1. Objective and Decision Framework</w:t>
      </w:r>
    </w:p>
    <w:p w14:paraId="5A94541D" w14:textId="77777777" w:rsidR="00015C2D" w:rsidRDefault="00000000">
      <w:r>
        <w:t>The purpose of this report is to identify additional eye- and gaze-derived measurements that merit validation for early-phase CNS pharmacodynamic studies using NeuroKit VR. Functional CNS measurements in early human drug development are used primarily to characterize the properties and effects of a drug, often in healthy participants; this differs from using the same measurements as diagnostic endpoints in patients [1]. Consequently, scientific and physiological relevance to CNS pharmacology is considered first, and technical feasibility with the Varjo XR-4 is considered second.</w:t>
      </w:r>
    </w:p>
    <w:p w14:paraId="076BC656" w14:textId="77777777" w:rsidR="00015C2D" w:rsidRDefault="00000000">
      <w:pPr>
        <w:pStyle w:val="BodyText"/>
      </w:pPr>
      <w:r>
        <w:t xml:space="preserve">For this report, the term </w:t>
      </w:r>
      <w:r>
        <w:rPr>
          <w:i/>
          <w:iCs/>
        </w:rPr>
        <w:t>candidate biomarker</w:t>
      </w:r>
      <w:r>
        <w:t xml:space="preserve"> is used operationally for an objective measurement proposed for further validation. The term does not imply that the measurement has already been clinically or pharmacodynamically validated.</w:t>
      </w:r>
    </w:p>
    <w:p w14:paraId="4CA49700" w14:textId="77777777" w:rsidR="00015C2D" w:rsidRDefault="00000000">
      <w:pPr>
        <w:pStyle w:val="BodyText"/>
      </w:pPr>
      <w:r>
        <w:t>Candidate measurements are evaluated against four questions:</w:t>
      </w:r>
    </w:p>
    <w:p w14:paraId="6141B8F5" w14:textId="77777777" w:rsidR="00015C2D" w:rsidRDefault="00000000">
      <w:pPr>
        <w:pStyle w:val="BodyText"/>
      </w:pPr>
      <w:r>
        <w:t>Question 1 - Does the measurement address a CNS function or drug-related effect that is relevant to the intended early-phase pharmacology context?</w:t>
      </w:r>
    </w:p>
    <w:p w14:paraId="316186AA" w14:textId="77777777" w:rsidR="00015C2D" w:rsidRDefault="00000000">
      <w:pPr>
        <w:pStyle w:val="BodyText"/>
      </w:pPr>
      <w:r>
        <w:t>Question 2 - Could it add information that is not already represented by established NeuroCart measurements?</w:t>
      </w:r>
    </w:p>
    <w:p w14:paraId="057804AC" w14:textId="77777777" w:rsidR="00015C2D" w:rsidRDefault="00000000">
      <w:pPr>
        <w:pStyle w:val="BodyText"/>
      </w:pPr>
      <w:r>
        <w:t>Question 3 - Can it be measured reliably with the intended hardware and task design?</w:t>
      </w:r>
    </w:p>
    <w:p w14:paraId="6857F6F3" w14:textId="77777777" w:rsidR="00015C2D" w:rsidRDefault="00000000">
      <w:pPr>
        <w:pStyle w:val="BodyText"/>
      </w:pPr>
      <w:r>
        <w:t>Question 4 - Is there a realistic path to repeatability testing, pharmacological sensitivity testing, and comparison with existing endpoints?</w:t>
      </w:r>
    </w:p>
    <w:p w14:paraId="11A9B886" w14:textId="77777777" w:rsidR="00015C2D" w:rsidRDefault="00000000">
      <w:pPr>
        <w:pStyle w:val="BodyText"/>
      </w:pPr>
      <w:r>
        <w:t>This ordering is consistent with the scientific rationale for biomarker selection. The NeuroCart development approach selected tests for pharmacological sensitivity and reproducibility and required a plausible relationship between the biomarker, pharmacology, and relevant biological context [2]. The fit-for-purpose framework of Kruizinga et al. likewise starts with selection of a meaningful candidate before technical and clinical validation [3].</w:t>
      </w:r>
    </w:p>
    <w:p w14:paraId="3718A3E7" w14:textId="77777777" w:rsidR="00015C2D" w:rsidRDefault="00000000">
      <w:pPr>
        <w:pStyle w:val="Heading1"/>
      </w:pPr>
      <w:bookmarkStart w:id="3" w:name="Xdbdd1b29d0497135dfa3b0c5796f0abcaae03ad"/>
      <w:bookmarkEnd w:id="2"/>
      <w:r>
        <w:t>2. Pharmacodynamic Context and Selection Logic</w:t>
      </w:r>
    </w:p>
    <w:p w14:paraId="4754A9BD" w14:textId="77777777" w:rsidR="00015C2D" w:rsidRDefault="00000000">
      <w:pPr>
        <w:pStyle w:val="Heading2"/>
      </w:pPr>
      <w:bookmarkStart w:id="4" w:name="X08ceca9110103407c6297008cfd9ce53eed2e4d"/>
      <w:r>
        <w:t>2.1 NeuroCart baseline and functional coverage</w:t>
      </w:r>
    </w:p>
    <w:p w14:paraId="160082D1" w14:textId="77777777" w:rsidR="00015C2D" w:rsidRDefault="00000000">
      <w:r>
        <w:t xml:space="preserve">The published NeuroCart battery provides the pharmacological baseline against which additional measurements should be judged. Table 1 of Groeneveld et al. lists saccadic eye movement and smooth pursuit under neurophysiological function and adaptive tracking under visuomotor coordination [2]. The same paper </w:t>
      </w:r>
      <w:r>
        <w:lastRenderedPageBreak/>
        <w:t>summarizes drug effects on saccadic peak velocity, smooth pursuit, body sway, and adaptive tracking across CNS-active compounds [2].</w:t>
      </w:r>
    </w:p>
    <w:p w14:paraId="2CA74685" w14:textId="77777777" w:rsidR="00015C2D" w:rsidRDefault="00000000">
      <w:pPr>
        <w:pStyle w:val="BodyText"/>
      </w:pPr>
      <w:r>
        <w:t>Van Gerven's review distinguishes early drug-development measurements from clinical disease endpoints and describes multiple drug-responsive functional domains, including neurophysiological eye movements, executive function, attention, and visuomotor performance [1]. Within the executive domain, tasks involving complex information processing were reported as particularly sensitive to ethanol and cannabis in the reviewed studies [1].</w:t>
      </w:r>
    </w:p>
    <w:p w14:paraId="284937CE" w14:textId="77777777" w:rsidR="00015C2D" w:rsidRDefault="00000000">
      <w:pPr>
        <w:pStyle w:val="BodyText"/>
      </w:pPr>
      <w:r>
        <w:t>The implication for NeuroKit VR is that a new eye-tracking measurement should not be selected simply because it is novel or disease-associated. It should address a function that is relevant to CNS pharmacology and eventually show repeatability and responsiveness in the intended study context.</w:t>
      </w:r>
    </w:p>
    <w:p w14:paraId="1BEEAB5C" w14:textId="77777777" w:rsidR="00015C2D" w:rsidRDefault="00000000">
      <w:pPr>
        <w:pStyle w:val="Heading2"/>
      </w:pPr>
      <w:bookmarkStart w:id="5" w:name="X3627e9ea0a45d2849ebe6e3b1e58cff8545a815"/>
      <w:bookmarkEnd w:id="4"/>
      <w:r>
        <w:t>2.2 Blood-brain barrier and interpretation of functional CNS effects</w:t>
      </w:r>
    </w:p>
    <w:p w14:paraId="2E30B3E0" w14:textId="77777777" w:rsidR="00015C2D" w:rsidRDefault="00000000">
      <w:r>
        <w:t>The blood-brain barrier (BBB) question must be separated from anatomical localization. Groeneveld et al. describe a concentration-effect relationship between exposure to a test compound and CNS function as evidence of BBB penetration and central pharmacological activity [2]. The same discussion notes that a pharmacodynamic effect associated with exposure is not necessarily expressed in the same physiological system or anatomical brain region as the therapeutic action [2].</w:t>
      </w:r>
    </w:p>
    <w:p w14:paraId="1D716ED8" w14:textId="77777777" w:rsidR="00015C2D" w:rsidRDefault="00000000">
      <w:pPr>
        <w:pStyle w:val="BodyText"/>
      </w:pPr>
      <w:r>
        <w:t>Accordingly, systemic exposure by itself should not be presented here as proof that a compound has reached the intended CNS site of action. A reproducible exposure-related CNS effect can provide functional evidence of central activity, but it does not by itself identify the exact anatomical site at which the drug acts.</w:t>
      </w:r>
    </w:p>
    <w:p w14:paraId="23B61F79" w14:textId="77777777" w:rsidR="00015C2D" w:rsidRDefault="00000000">
      <w:pPr>
        <w:pStyle w:val="Heading2"/>
      </w:pPr>
      <w:bookmarkStart w:id="6" w:name="X290654c3f8c03fc6b3142016a56744aa9d39002"/>
      <w:bookmarkEnd w:id="5"/>
      <w:r>
        <w:t>2.3 Disease association versus pharmacodynamic relevance</w:t>
      </w:r>
    </w:p>
    <w:p w14:paraId="1CE237FB" w14:textId="77777777" w:rsidR="00015C2D" w:rsidRDefault="00000000">
      <w:r>
        <w:t>Disease association is supportive evidence for physiological relevance, not sufficient evidence for an early-phase pharmacodynamic biomarker. Van Gerven explicitly distinguishes the goals of early human drug development from diagnostic or clinical disease assessment [1]. The review by Coito et al. similarly contains disease-focused ocular motor evidence that can identify potentially relevant functional domains, but those findings should not automatically be interpreted as proof of acute drug responsiveness [9].</w:t>
      </w:r>
    </w:p>
    <w:p w14:paraId="2D8A558D" w14:textId="77777777" w:rsidR="00015C2D" w:rsidRDefault="00000000">
      <w:pPr>
        <w:pStyle w:val="BodyText"/>
      </w:pPr>
      <w:r>
        <w:t>For NeuroKit VR, a disease-related ocular measure becomes a stronger candidate only when there is a credible path to showing repeatability and a pharmacological change within the intended study time scale. Disease-focused evidence alone is treated as insufficient to establish pharmacodynamic suitability.</w:t>
      </w:r>
    </w:p>
    <w:p w14:paraId="2F00D2FF" w14:textId="77777777" w:rsidR="00015C2D" w:rsidRDefault="00000000">
      <w:pPr>
        <w:pStyle w:val="Heading1"/>
      </w:pPr>
      <w:bookmarkStart w:id="7" w:name="Xdf50de3a86ae5e2f54a9ea11af2ce670ce3f5cc"/>
      <w:bookmarkEnd w:id="3"/>
      <w:bookmarkEnd w:id="6"/>
      <w:r>
        <w:t>3. Scientific Rationale for Candidate Eye-Tracking Measurements</w:t>
      </w:r>
    </w:p>
    <w:p w14:paraId="4DAB5322" w14:textId="77777777" w:rsidR="00015C2D" w:rsidRDefault="00000000">
      <w:pPr>
        <w:pStyle w:val="Heading2"/>
      </w:pPr>
      <w:bookmarkStart w:id="8" w:name="X21f4357b98745afba2a07052714d62b4cb27786"/>
      <w:r>
        <w:t>3.1 Anti-saccade: core proposed candidate</w:t>
      </w:r>
    </w:p>
    <w:p w14:paraId="40A118AB" w14:textId="77777777" w:rsidR="00015C2D" w:rsidRDefault="00000000">
      <w:r>
        <w:t>Anti-saccade is considered a core candidate because the available evidence connects anti-saccadic measurements with a functional domain that is not captured directly by saccadic peak velocity alone. Coito et al. summarize abnormalities in anti-saccade latency, accuracy, directional errors, and corrected errors and state that anti-saccadic parameters can be used to assess executive function in the context reviewed [9]. Their Table 1 also distinguishes pro- and anti-saccadic outcomes [9].</w:t>
      </w:r>
    </w:p>
    <w:p w14:paraId="7F3C1F60" w14:textId="77777777" w:rsidR="00015C2D" w:rsidRDefault="00000000">
      <w:pPr>
        <w:pStyle w:val="BodyText"/>
      </w:pPr>
      <w:r>
        <w:t>This evidence is disease-focused rather than pharmacodynamic. However, van Gerven's review independently shows that executive-function tasks, particularly tasks involving complex information processing, can be sensitive to CNS-active substances in early-development-style studies [1]. Taken together, these findings provide a rationale for testing whether an anti-saccade task can add an eye-tracking measure of executive control to NeuroKit VR. This connection is an inference from the combined evidence; neither source directly demonstrates acute drug responsiveness of a NeuroKit anti-saccade endpoint.</w:t>
      </w:r>
    </w:p>
    <w:p w14:paraId="408C9C1D" w14:textId="77777777" w:rsidR="00015C2D" w:rsidRDefault="00000000">
      <w:pPr>
        <w:pStyle w:val="Heading3"/>
      </w:pPr>
      <w:bookmarkStart w:id="9" w:name="near-term-decision"/>
      <w:r>
        <w:t>Near-term decision</w:t>
      </w:r>
    </w:p>
    <w:p w14:paraId="6D4DD049" w14:textId="77777777" w:rsidR="00015C2D" w:rsidRDefault="00000000">
      <w:r>
        <w:t>Anti-saccade should be treated as one of the main new NeuroKit VR candidates and should receive a dedicated Unity validation task. The first endpoints to evaluate are anti-saccade latency, directional error rate, corrected error rate, and endpoint accuracy because these outcome types are directly represented in the ocular-motor review [9]. Pharmacological sensitivity remains to be demonstrated.</w:t>
      </w:r>
    </w:p>
    <w:p w14:paraId="5D3C72DC" w14:textId="77777777" w:rsidR="00015C2D" w:rsidRDefault="00000000">
      <w:pPr>
        <w:pStyle w:val="Heading2"/>
      </w:pPr>
      <w:bookmarkStart w:id="10" w:name="X98cf8db856130956cab11e55bb0cf24dbee984f"/>
      <w:bookmarkEnd w:id="8"/>
      <w:bookmarkEnd w:id="9"/>
      <w:r>
        <w:lastRenderedPageBreak/>
        <w:t>3.2 Bivariate Contour Ellipse Area (BCEA) / fixation stability: core proposed candidate</w:t>
      </w:r>
    </w:p>
    <w:p w14:paraId="730F42F4" w14:textId="77777777" w:rsidR="00015C2D" w:rsidRDefault="00000000">
      <w:r>
        <w:t>Bivariate Contour Ellipse Area (BCEA) quantifies the spatial dispersion of fixation points. Hunfalvay et al. describe BCEA as an ellipse fitted to horizontal and vertical fixation data and state that a larger BCEA corresponds to less stable fixation [5]. Schönbach et al. also use BCEA as a continuous measure of fixation stability [6].</w:t>
      </w:r>
    </w:p>
    <w:p w14:paraId="2B886D19" w14:textId="77777777" w:rsidR="00015C2D" w:rsidRDefault="00000000">
      <w:pPr>
        <w:pStyle w:val="BodyText"/>
      </w:pPr>
      <w:r>
        <w:t>BCEA measures a different property from saccadic peak velocity: spatial stability during fixation rather than peak saccadic speed. The cited BCEA studies are not pharmacological studies. Schönbach et al. studied fixation stability in Stargardt disease, and Hunfalvay et al. studied pediatric mild traumatic brain injury [5,6]. Neither source demonstrates an acute drug effect on BCEA.</w:t>
      </w:r>
    </w:p>
    <w:p w14:paraId="1E86919E" w14:textId="66AA65F9" w:rsidR="00015C2D" w:rsidRDefault="00000000">
      <w:bookmarkStart w:id="11" w:name="near-term-decision-1"/>
      <w:r>
        <w:t>BCEA has a clear quantitative definition and can be tested in a dedicated fixation task. Its pharmacological responsiveness remains an open question.</w:t>
      </w:r>
    </w:p>
    <w:p w14:paraId="2B8D251B" w14:textId="77777777" w:rsidR="00015C2D" w:rsidRDefault="00000000">
      <w:pPr>
        <w:pStyle w:val="Heading2"/>
      </w:pPr>
      <w:bookmarkStart w:id="12" w:name="Xd0dc6ae0c97ea672b39003c0486457c69747d7e"/>
      <w:bookmarkEnd w:id="10"/>
      <w:bookmarkEnd w:id="11"/>
      <w:r>
        <w:t>3.3 Pupil-derived measurements: secondary candidate</w:t>
      </w:r>
    </w:p>
    <w:p w14:paraId="60D533F4" w14:textId="77777777" w:rsidR="00015C2D" w:rsidRDefault="00000000">
      <w:r>
        <w:t>The CHDR2513 internal Pupillometry Data Analysis report provides direct internal evidence about repeatability of several pupil-derived measurements, although it used a binocular 220 Hz Arrington Research eye tracker rather than the Varjo XR-4 [7]. In the reported FERT and N-back analyses, raw baseline pupil diameter, peak pupil dilation, mean pupil dilation, and area under the curve had substantially higher repeatability than response latency [7].</w:t>
      </w:r>
    </w:p>
    <w:p w14:paraId="6E370BDA" w14:textId="5D55A0F3" w:rsidR="00015C2D" w:rsidRDefault="00000000">
      <w:pPr>
        <w:pStyle w:val="BodyText"/>
      </w:pPr>
      <w:r>
        <w:t>Head-mounted pupillometry requires device-specific caution. Salari et al. experimentally changed pupil size using screen brightness and found pupil-size artifact in all four head-mounted eye trackers they tested; the magnitude and the effects on accuracy and precision varied by device [8].</w:t>
      </w:r>
      <w:r w:rsidR="0083517E">
        <w:t xml:space="preserve"> </w:t>
      </w:r>
      <w:r>
        <w:t>The appropriate conclusion is therefore that pupil-size artifact is a validation risk for head-mounted eye tracking</w:t>
      </w:r>
      <w:r w:rsidR="006229A0">
        <w:t>.</w:t>
      </w:r>
    </w:p>
    <w:p w14:paraId="50CE9FD5" w14:textId="77777777" w:rsidR="00015C2D" w:rsidRDefault="00000000">
      <w:pPr>
        <w:pStyle w:val="BodyText"/>
      </w:pPr>
      <w:r>
        <w:t>Coito et al. note that pupil reactivity may be influenced by Parkinson's medication [9]. This supports the possibility of medication-sensitive pupillary responses in that disease context, but it does not validate a specific NeuroKit VR pupil endpoint.</w:t>
      </w:r>
    </w:p>
    <w:p w14:paraId="21D68F1D" w14:textId="77777777" w:rsidR="00015C2D" w:rsidRDefault="00000000">
      <w:pPr>
        <w:pStyle w:val="Heading3"/>
      </w:pPr>
      <w:bookmarkStart w:id="13" w:name="near-term-decision-2"/>
      <w:r>
        <w:t>Near-term decision</w:t>
      </w:r>
    </w:p>
    <w:p w14:paraId="3F3D121E" w14:textId="77777777" w:rsidR="00015C2D" w:rsidRDefault="00000000">
      <w:r>
        <w:t>Pupil diameter, amplitude, and integrated-response measures remain secondary exploratory candidates. Response latency is not prioritized because the CHDR2513 internal report shows markedly lower repeatability for that endpoint [7].</w:t>
      </w:r>
    </w:p>
    <w:p w14:paraId="24ECE6C9" w14:textId="77777777" w:rsidR="00015C2D" w:rsidRDefault="00000000">
      <w:pPr>
        <w:pStyle w:val="Heading2"/>
      </w:pPr>
      <w:bookmarkStart w:id="14" w:name="X5b029d52d3b02ee4ccfbcf17885d9ca8c81a587"/>
      <w:bookmarkEnd w:id="12"/>
      <w:bookmarkEnd w:id="13"/>
      <w:r>
        <w:t>3.4 Microsaccades: scientifically relevant, technically constrained</w:t>
      </w:r>
    </w:p>
    <w:p w14:paraId="2F5E775A" w14:textId="77777777" w:rsidR="00015C2D" w:rsidRDefault="00000000">
      <w:r>
        <w:t>Microsaccades are small involuntary eye movements during fixation. Gu et al. review evidence linking microsaccades to external and internal shifts of attention and report typical durations of approximately 6 to 30 ms [10]. This provides a clear scientific reason to be interested in microsaccades when studying attention and fixation control.</w:t>
      </w:r>
    </w:p>
    <w:p w14:paraId="5615725D" w14:textId="77777777" w:rsidR="00015C2D" w:rsidRDefault="00000000">
      <w:pPr>
        <w:pStyle w:val="BodyText"/>
      </w:pPr>
      <w:r>
        <w:t>The scientific relevance does not by itself establish that the intended headset can measure the event with sufficient temporal detail. That technical question is addressed separately in Section 4.5.</w:t>
      </w:r>
    </w:p>
    <w:p w14:paraId="0FD13C3F" w14:textId="77777777" w:rsidR="00015C2D" w:rsidRDefault="00000000">
      <w:pPr>
        <w:pStyle w:val="Heading2"/>
      </w:pPr>
      <w:bookmarkStart w:id="15" w:name="X1602591285e8c4fee57b99934910bd4cf19a842"/>
      <w:bookmarkEnd w:id="14"/>
      <w:r>
        <w:t>3.5 Blink measures: methodological role</w:t>
      </w:r>
    </w:p>
    <w:p w14:paraId="6900E3EC" w14:textId="77777777" w:rsidR="00015C2D" w:rsidRDefault="00000000">
      <w:r>
        <w:t>The evidence supports a methodological role for blink events. The CHDR2513 pupillometry report treats blinks and signal loss as artifacts that require detection and interpolation during pupil preprocessing [7]. Larsen et al. deliberately recorded blink events to estimate hardware offset between eye-tracking and electrophysiological streams in a synchronized VR/EEG setup [14].</w:t>
      </w:r>
    </w:p>
    <w:p w14:paraId="6234C6EC" w14:textId="77777777" w:rsidR="00015C2D" w:rsidRDefault="00000000">
      <w:pPr>
        <w:pStyle w:val="BodyText"/>
      </w:pPr>
      <w:r>
        <w:t>The current evidence does not directly demonstrate that blink rate or blink duration provides incremental, drug-responsive information beyond established NeuroCart measurements in the intended early-phase NeuroKit setting. Blink events should therefore be retained for quality control and, where relevant, synchronization checks rather than prioritized as pharmacodynamic biomarkers.</w:t>
      </w:r>
    </w:p>
    <w:p w14:paraId="1DC0450C" w14:textId="77777777" w:rsidR="00015C2D" w:rsidRDefault="00000000">
      <w:pPr>
        <w:pStyle w:val="Heading1"/>
      </w:pPr>
      <w:bookmarkStart w:id="16" w:name="Xaa24006f0c22a4d39c63987e805a8e44c036973"/>
      <w:bookmarkEnd w:id="7"/>
      <w:bookmarkEnd w:id="15"/>
      <w:r>
        <w:lastRenderedPageBreak/>
        <w:t>4. Technical Feasibility on Varjo XR-4</w:t>
      </w:r>
    </w:p>
    <w:p w14:paraId="742593C1" w14:textId="77777777" w:rsidR="00015C2D" w:rsidRDefault="00000000">
      <w:pPr>
        <w:pStyle w:val="Heading2"/>
      </w:pPr>
      <w:bookmarkStart w:id="17" w:name="X3c4b7d2870328f0f3d91c7541b137e753b78a51"/>
      <w:r>
        <w:t>4.1 Hardware constraints relevant to biomarker selection</w:t>
      </w:r>
    </w:p>
    <w:p w14:paraId="60A24E5E" w14:textId="77777777" w:rsidR="00015C2D" w:rsidRDefault="00000000">
      <w:r>
        <w:t>The Varjo XR-4 Series Product Book lists a 90 Hz display refresh rate and integrated 200 Hz gaze-tracking cameras for the XR-4 and XR-4 Focal Edition [4]. At 200 Hz, consecutive nominal gaze samples are separated by 5 ms. The same product book does not state a numerical gaze-accuracy specification for XR-4; the sub-degree accuracy statement in the same source refers to Varjo Aero and is not transferred to XR-4 here [4].</w:t>
      </w:r>
    </w:p>
    <w:p w14:paraId="5D15578F" w14:textId="77777777" w:rsidR="00015C2D" w:rsidRDefault="00000000">
      <w:pPr>
        <w:pStyle w:val="Heading2"/>
      </w:pPr>
      <w:bookmarkStart w:id="18" w:name="Xd6bafe6855233650da830da1237b978a8ce835f"/>
      <w:bookmarkEnd w:id="17"/>
      <w:r>
        <w:t>4.2 Anti-saccade feasibility</w:t>
      </w:r>
    </w:p>
    <w:p w14:paraId="16CCE0B1" w14:textId="77777777" w:rsidR="00015C2D" w:rsidRDefault="00000000">
      <w:r>
        <w:t>The proposed anti-saccade task can use the same fundamental ingredients already required by a saccadic eye-movement paradigm: controlled visual target events, timestamped gaze samples, and classification of the resulting saccadic response. Unlike microsaccade analysis, the proposal does not depend on reconstructing the 6-30 ms micro-events described by Gu et al. [10].</w:t>
      </w:r>
    </w:p>
    <w:p w14:paraId="4CD4B4AD" w14:textId="77777777" w:rsidR="00015C2D" w:rsidRDefault="00000000">
      <w:pPr>
        <w:pStyle w:val="BodyText"/>
      </w:pPr>
      <w:r>
        <w:t>This does not remove the need for technical validation. Unity stimulus timestamps, gaze timestamps, latency estimation, event-detection rules, and directional-error classification should be validated before anti-saccade latency or error metrics are treated as reliable endpoints.</w:t>
      </w:r>
    </w:p>
    <w:p w14:paraId="17242A8A" w14:textId="77777777" w:rsidR="00015C2D" w:rsidRDefault="00000000">
      <w:pPr>
        <w:pStyle w:val="Heading2"/>
      </w:pPr>
      <w:bookmarkStart w:id="19" w:name="Xeb92fe74bde01f21b42b3926aaa353d0a6c1f68"/>
      <w:bookmarkEnd w:id="18"/>
      <w:r>
        <w:t>4.3 BCEA feasibility</w:t>
      </w:r>
    </w:p>
    <w:p w14:paraId="6180B3DE" w14:textId="77777777" w:rsidR="00015C2D" w:rsidRDefault="00000000">
      <w:r>
        <w:t>The cited fixation-stability studies favor explicit fixation periods. Hunfalvay et al. used a dedicated fixation-stability task with stationary targets presented for 7 seconds each [5]. Schonbach et al. used a separate fixation examination in which participants fixated a target for approximately 30 seconds, in addition to measuring fixation during another test [6].</w:t>
      </w:r>
    </w:p>
    <w:p w14:paraId="21812D48" w14:textId="77777777" w:rsidR="00015C2D" w:rsidRDefault="00000000">
      <w:pPr>
        <w:pStyle w:val="BodyText"/>
      </w:pPr>
      <w:r>
        <w:t>These methods support a dedicated fixation task as the primary design for validating BCEA in NeuroKit VR. Existing saccadic-task data can still be used as a retrospective feasibility dataset, but equivalence between incidental fixation periods and a dedicated fixation test should not be assumed.</w:t>
      </w:r>
    </w:p>
    <w:p w14:paraId="73B2F0A1" w14:textId="77777777" w:rsidR="00015C2D" w:rsidRDefault="00000000">
      <w:pPr>
        <w:pStyle w:val="Heading2"/>
      </w:pPr>
      <w:bookmarkStart w:id="20" w:name="Xcd61cfc8e054973a89f560a47449649a43a1b48"/>
      <w:bookmarkEnd w:id="19"/>
      <w:r>
        <w:t>4.4 Pupil feasibility</w:t>
      </w:r>
    </w:p>
    <w:p w14:paraId="32C649A6" w14:textId="77777777" w:rsidR="00015C2D" w:rsidRDefault="00000000">
      <w:r>
        <w:t>Transfer of the CHDR2513 pupil results to XR-4 must be tested rather than assumed because the internal study used a different eye tracker [7]. Luminance must also be controlled, and XR-4-specific pupil-size-related gaze artifacts should be quantified before pupil and spatial gaze outcomes are interpreted together [8].</w:t>
      </w:r>
    </w:p>
    <w:p w14:paraId="7C043433" w14:textId="77777777" w:rsidR="00015C2D" w:rsidRDefault="00000000">
      <w:pPr>
        <w:pStyle w:val="Heading2"/>
      </w:pPr>
      <w:bookmarkStart w:id="21" w:name="X24eb86baa40d4a209909be75cc4f5f955811f2c"/>
      <w:bookmarkEnd w:id="20"/>
      <w:r>
        <w:t>4.5 Microsaccade sampling limitation</w:t>
      </w:r>
    </w:p>
    <w:p w14:paraId="485392FF" w14:textId="77777777" w:rsidR="00015C2D" w:rsidRDefault="00000000">
      <w:r>
        <w:t>The 200 Hz XR-4 specification corresponds to a nominal 5 ms interval between gaze samples [4]. Gu et al. report microsaccade durations of approximately 6-30 ms [10]. A microsaccade in that range therefore spans only approximately 1.2-6 nominal sampling intervals. This calculation is an engineering inference from the cited XR-4 specification and microsaccade-duration data, not a published universal threshold for microsaccade detection.</w:t>
      </w:r>
    </w:p>
    <w:p w14:paraId="493B0DE3" w14:textId="77777777" w:rsidR="00015C2D" w:rsidRDefault="00000000">
      <w:pPr>
        <w:pStyle w:val="BodyText"/>
      </w:pPr>
      <w:r>
        <w:t>Leube et al. show that sampling rate is a limiting factor in velocity-based analysis of fast eye movements and that increasing sampling rate improved detection and duration estimation for short saccades in their 60 Hz versus 120 Hz comparison with a 1000 Hz reference system [11]. Their study concerns ordinary saccades during reading, not microsaccades on XR-4, so it cannot define a Varjo-specific minimum sampling rate.</w:t>
      </w:r>
    </w:p>
    <w:p w14:paraId="7990A1B7" w14:textId="77777777" w:rsidR="00015C2D" w:rsidRDefault="00000000">
      <w:pPr>
        <w:pStyle w:val="BodyText"/>
      </w:pPr>
      <w:r>
        <w:t>The CHDR2513 internal report adds a separate practical warning about relying on nominal sampling rate alone: its 220 Hz Arrington system had an unstable frame rate, and the pupil data were resampled to 500 Hz during preprocessing [7]. That report is neither a Varjo study nor a microsaccade study. It therefore cannot be used as direct proof that XR-4 fails at microsaccade detection. It does show that actual sample timing can require correction even when a nominal frame rate is specified.</w:t>
      </w:r>
    </w:p>
    <w:p w14:paraId="3C98EB08" w14:textId="77777777" w:rsidR="00015C2D" w:rsidRDefault="00000000">
      <w:pPr>
        <w:pStyle w:val="BodyText"/>
      </w:pPr>
      <w:r>
        <w:t>For the intended NeuroKit use case, the combination of very short microsaccade duration, sparse native observations at 200 Hz, and the importance of sampling rate for fast-event analysis is sufficient to treat event-level microsaccade kinematics as technically unsuitable for a primary XR-4 biomarker unless a higher-rate reference validation demonstrates otherwise. This is a project-level engineering decision, not a claim that the literature establishes a universal 200 Hz cutoff.</w:t>
      </w:r>
    </w:p>
    <w:p w14:paraId="517D6DFE" w14:textId="77777777" w:rsidR="00015C2D" w:rsidRDefault="00000000">
      <w:pPr>
        <w:pStyle w:val="Heading1"/>
      </w:pPr>
      <w:bookmarkStart w:id="22" w:name="X34219bcc9ab1b699733c3d7d027d2834b9b1fc1"/>
      <w:bookmarkEnd w:id="16"/>
      <w:bookmarkEnd w:id="21"/>
      <w:r>
        <w:lastRenderedPageBreak/>
        <w:t>5. Proposed NeuroKit VR / Unity Validation Tasks</w:t>
      </w:r>
    </w:p>
    <w:p w14:paraId="53F18C2E" w14:textId="77777777" w:rsidR="00015C2D" w:rsidRDefault="00000000">
      <w:pPr>
        <w:pStyle w:val="Heading2"/>
      </w:pPr>
      <w:bookmarkStart w:id="23" w:name="X41c0c6fe2231abdb897fdf6b00474aefce44c63"/>
      <w:r>
        <w:t>5.1 Dedicated Anti-Saccade Test</w:t>
      </w:r>
    </w:p>
    <w:p w14:paraId="749B918E" w14:textId="77777777" w:rsidR="00015C2D" w:rsidRDefault="00000000">
      <w:r>
        <w:t>A dedicated Unity Anti-Saccade Test is proposed as a main new NeuroKit VR task. The task logic below is a proposed implementation design rather than a validated NeuroKit-specific protocol:</w:t>
      </w:r>
    </w:p>
    <w:p w14:paraId="0F2BF46B" w14:textId="77777777" w:rsidR="00015C2D" w:rsidRDefault="00000000">
      <w:pPr>
        <w:pStyle w:val="BodyText"/>
      </w:pPr>
      <w:r>
        <w:t>Step 1 - Present a central fixation target and require stable fixation before the trial begins.</w:t>
      </w:r>
    </w:p>
    <w:p w14:paraId="244C5BDA" w14:textId="77777777" w:rsidR="00015C2D" w:rsidRDefault="00000000">
      <w:pPr>
        <w:pStyle w:val="BodyText"/>
      </w:pPr>
      <w:r>
        <w:t>Step 2 - Present a peripheral target on one side.</w:t>
      </w:r>
    </w:p>
    <w:p w14:paraId="206C8FC4" w14:textId="77777777" w:rsidR="00015C2D" w:rsidRDefault="00000000">
      <w:pPr>
        <w:pStyle w:val="BodyText"/>
      </w:pPr>
      <w:r>
        <w:t>Step 3 - In the anti-saccade condition, instruct the participant to direct gaze to the corresponding location on the opposite side rather than toward the presented target.</w:t>
      </w:r>
    </w:p>
    <w:p w14:paraId="7FD4164F" w14:textId="77777777" w:rsidR="00015C2D" w:rsidRDefault="00000000">
      <w:pPr>
        <w:pStyle w:val="BodyText"/>
      </w:pPr>
      <w:r>
        <w:t>Step 4 - Return to central fixation and repeat trials across both directions.</w:t>
      </w:r>
    </w:p>
    <w:p w14:paraId="0668D92D" w14:textId="77777777" w:rsidR="00015C2D" w:rsidRDefault="00000000">
      <w:pPr>
        <w:pStyle w:val="BodyText"/>
      </w:pPr>
      <w:r>
        <w:t>Step 5 - Optionally include a short pro-saccade control block with the same visual geometry so that pro- and anti-saccadic performance can be compared within the same implementation.</w:t>
      </w:r>
    </w:p>
    <w:p w14:paraId="7F604C37" w14:textId="77777777" w:rsidR="00015C2D" w:rsidRDefault="00000000">
      <w:pPr>
        <w:pStyle w:val="BodyText"/>
      </w:pPr>
      <w:r>
        <w:t>The primary candidate outputs are anti-saccade latency, directional error rate, corrected error rate, and endpoint accuracy, matching outcome types summarized by Coito et al. [9]. Saccadic peak velocity can remain an established comparator rather than the defining new anti-saccade outcome [1,2].</w:t>
      </w:r>
    </w:p>
    <w:p w14:paraId="2C58D504" w14:textId="77777777" w:rsidR="00015C2D" w:rsidRDefault="00000000">
      <w:pPr>
        <w:pStyle w:val="BodyText"/>
      </w:pPr>
      <w:r>
        <w:t>Exact target eccentricity, fixation duration, trial count, latency thresholds, and event-detection rules should be defined during protocol development and then validated. These parameters require NeuroKit-specific optimization and validation before a final protocol is defined.</w:t>
      </w:r>
    </w:p>
    <w:p w14:paraId="66F0B7D1" w14:textId="77777777" w:rsidR="00015C2D" w:rsidRDefault="00000000">
      <w:pPr>
        <w:pStyle w:val="Heading2"/>
      </w:pPr>
      <w:bookmarkStart w:id="24" w:name="X46193cda4eaaaf5a352d972215329538c6d792b"/>
      <w:bookmarkEnd w:id="23"/>
      <w:r>
        <w:t>5.2 Dedicated Fixation-Stability / BCEA Test</w:t>
      </w:r>
    </w:p>
    <w:p w14:paraId="3BC8C410" w14:textId="77777777" w:rsidR="00015C2D" w:rsidRDefault="00000000">
      <w:r>
        <w:t>A second dedicated Unity task should validate fixation stability. The participant fixates a stationary target while gaze position is recorded. The cited BCEA studies provide examples of dedicated fixation periods but do not establish a single required duration for NeuroKit VR [5,6]. The validation should therefore compare candidate window lengths, quantify missing-data sensitivity, and assess test-retest repeatability before choosing a final protocol.</w:t>
      </w:r>
    </w:p>
    <w:p w14:paraId="20166C50" w14:textId="77777777" w:rsidR="00015C2D" w:rsidRDefault="00000000">
      <w:pPr>
        <w:pStyle w:val="BodyText"/>
      </w:pPr>
      <w:r>
        <w:t>Existing saccadic-task trial data can be reanalyzed in parallel. This retrospective analysis is useful for feasibility but should not replace the dedicated fixation task unless the two approaches are shown to produce comparable and repeatable results.</w:t>
      </w:r>
    </w:p>
    <w:p w14:paraId="1745EC04" w14:textId="77777777" w:rsidR="00015C2D" w:rsidRDefault="00000000">
      <w:pPr>
        <w:pStyle w:val="Heading2"/>
      </w:pPr>
      <w:bookmarkStart w:id="25" w:name="X9127e30a4ce0ca7fcb5d3caf1b5e7bc3b01b84d"/>
      <w:bookmarkEnd w:id="24"/>
      <w:r>
        <w:t>5.3 Pupil measures as secondary outputs</w:t>
      </w:r>
    </w:p>
    <w:p w14:paraId="707C1CB5" w14:textId="77777777" w:rsidR="00015C2D" w:rsidRDefault="00000000">
      <w:r>
        <w:t>Selected pupil-size, amplitude, or integrated-response measures can be recorded as secondary outputs during controlled tasks, provided luminance is standardized and XR-4-specific measurement behavior is characterized [7,8]. A separate new pupil task is not prioritized before this transfer validation is complete.</w:t>
      </w:r>
    </w:p>
    <w:p w14:paraId="646641FD" w14:textId="77777777" w:rsidR="00015C2D" w:rsidRDefault="00000000">
      <w:pPr>
        <w:pStyle w:val="Heading1"/>
      </w:pPr>
      <w:bookmarkStart w:id="26" w:name="X0f17eef0fae3906a38036a7945c6904d8f6bca5"/>
      <w:bookmarkEnd w:id="22"/>
      <w:bookmarkEnd w:id="25"/>
      <w:r>
        <w:t>6. Validation Strategy</w:t>
      </w:r>
    </w:p>
    <w:p w14:paraId="41FE7907" w14:textId="77777777" w:rsidR="00015C2D" w:rsidRDefault="00000000">
      <w:r>
        <w:t>The validation plan follows the sequence described by Kruizinga et al. rather than attributing an ad hoc NeuroKit checklist to that paper [3].</w:t>
      </w:r>
    </w:p>
    <w:p w14:paraId="5A75CD85" w14:textId="77777777" w:rsidR="00015C2D" w:rsidRDefault="00000000">
      <w:pPr>
        <w:pStyle w:val="Heading2"/>
      </w:pPr>
      <w:bookmarkStart w:id="27" w:name="X9adb9d8176f8216adb01c45ebe2c65e0844edec"/>
      <w:r>
        <w:t>6.1 Candidate selection</w:t>
      </w:r>
    </w:p>
    <w:p w14:paraId="745A4832" w14:textId="77777777" w:rsidR="00015C2D" w:rsidRDefault="00000000">
      <w:r>
        <w:t>Kruizinga et al. state that a candidate digital endpoint should be accurate, reliable, meaningful for its intended use, usable and tolerable, and should offer a clear benefit over existing methods [3]. For NeuroKit VR, the additional project-specific question is whether the candidate has a plausible relationship to a drug effect that matters in early-phase CNS pharmacology.</w:t>
      </w:r>
    </w:p>
    <w:p w14:paraId="4690A10C" w14:textId="77777777" w:rsidR="00015C2D" w:rsidRDefault="00000000">
      <w:pPr>
        <w:pStyle w:val="Heading2"/>
      </w:pPr>
      <w:bookmarkStart w:id="28" w:name="X2b410f33b86cbfd0a7596470ffef56d3aec7125"/>
      <w:bookmarkEnd w:id="27"/>
      <w:r>
        <w:t>6.2 Technical validation</w:t>
      </w:r>
    </w:p>
    <w:p w14:paraId="357F1F01" w14:textId="77777777" w:rsidR="00015C2D" w:rsidRDefault="00000000">
      <w:r>
        <w:t>Before interpreting pharmacological change, the measurement process should establish the following technical properties.</w:t>
      </w:r>
    </w:p>
    <w:p w14:paraId="68D53470" w14:textId="77777777" w:rsidR="00015C2D" w:rsidRDefault="00000000">
      <w:pPr>
        <w:pStyle w:val="BodyText"/>
      </w:pPr>
      <w:r>
        <w:t>Spatial performance - XR-4 accuracy and precision under the actual task conditions.</w:t>
      </w:r>
    </w:p>
    <w:p w14:paraId="5649AD0A" w14:textId="77777777" w:rsidR="00015C2D" w:rsidRDefault="00000000">
      <w:pPr>
        <w:pStyle w:val="BodyText"/>
      </w:pPr>
      <w:r>
        <w:lastRenderedPageBreak/>
        <w:t>Timing - effective gaze sample timing and timestamp consistency relevant to latency measures.</w:t>
      </w:r>
    </w:p>
    <w:p w14:paraId="6380383D" w14:textId="77777777" w:rsidR="00015C2D" w:rsidRDefault="00000000">
      <w:pPr>
        <w:pStyle w:val="BodyText"/>
      </w:pPr>
      <w:r>
        <w:t>Anti-saccade repeatability - latency, directional-error, corrected-error, and endpoint-accuracy measures.</w:t>
      </w:r>
    </w:p>
    <w:p w14:paraId="48FA73AC" w14:textId="77777777" w:rsidR="00015C2D" w:rsidRDefault="00000000">
      <w:pPr>
        <w:pStyle w:val="BodyText"/>
      </w:pPr>
      <w:r>
        <w:t>Fixation repeatability - BCEA in the dedicated fixation task and sensitivity to analysis-window duration and data-loss rules.</w:t>
      </w:r>
    </w:p>
    <w:p w14:paraId="4B345C75" w14:textId="77777777" w:rsidR="00015C2D" w:rsidRDefault="00000000">
      <w:pPr>
        <w:pStyle w:val="BodyText"/>
      </w:pPr>
      <w:r>
        <w:t>Pupil repeatability - selected pupil-size or integrated pupil measures under controlled luminance.</w:t>
      </w:r>
    </w:p>
    <w:p w14:paraId="32CBDF94" w14:textId="77777777" w:rsidR="00015C2D" w:rsidRDefault="00000000">
      <w:pPr>
        <w:pStyle w:val="BodyText"/>
      </w:pPr>
      <w:r>
        <w:t>Data quality - prespecified handling of missing samples, blinks, and calibration failures.</w:t>
      </w:r>
    </w:p>
    <w:p w14:paraId="524CF9E5" w14:textId="77777777" w:rsidR="00015C2D" w:rsidRDefault="00000000">
      <w:pPr>
        <w:pStyle w:val="BodyText"/>
      </w:pPr>
      <w:r>
        <w:t>These are NeuroKit-specific applications of the technical-validation principles described by Kruizinga et al., not a verbatim checklist from that source [3].</w:t>
      </w:r>
    </w:p>
    <w:p w14:paraId="6E1BAAD1" w14:textId="77777777" w:rsidR="00015C2D" w:rsidRDefault="00000000">
      <w:pPr>
        <w:pStyle w:val="Heading2"/>
      </w:pPr>
      <w:bookmarkStart w:id="29" w:name="X9b4ef57056c7d085b52a7ce6bd2ff74c0436d25"/>
      <w:bookmarkEnd w:id="28"/>
      <w:r>
        <w:t>6.3 Fit-for-purpose pharmacodynamic validation</w:t>
      </w:r>
    </w:p>
    <w:p w14:paraId="367511F5" w14:textId="77777777" w:rsidR="00015C2D" w:rsidRDefault="00000000">
      <w:r>
        <w:t>For short, pharmacodynamic-intensive NeuroKit studies, repeatability, within-subject variability, responsiveness to a pharmacological intervention, and added value relative to established NeuroCart outcomes are more relevant than patient-versus-control discrimination. This is an adaptation of the published fit-for-purpose framework to the present context of use [3], informed by the early-phase functional-measurement perspective described by van Gerven [1].</w:t>
      </w:r>
    </w:p>
    <w:p w14:paraId="443EAB8F" w14:textId="77777777" w:rsidR="00015C2D" w:rsidRDefault="00000000">
      <w:pPr>
        <w:pStyle w:val="BodyText"/>
      </w:pPr>
      <w:r>
        <w:t>Neither anti-saccade nor BCEA should be presented as an established pharmacodynamic biomarker until relevant drug responsiveness has been demonstrated in the intended context.</w:t>
      </w:r>
    </w:p>
    <w:p w14:paraId="334878B2" w14:textId="77777777" w:rsidR="00015C2D" w:rsidRDefault="00000000">
      <w:pPr>
        <w:pStyle w:val="Heading2"/>
      </w:pPr>
      <w:bookmarkStart w:id="30" w:name="Xa57a04374fa51051462429b9665849a96f5dea8"/>
      <w:bookmarkEnd w:id="29"/>
      <w:r>
        <w:t>6.4 Practical validation sequence</w:t>
      </w:r>
    </w:p>
    <w:p w14:paraId="7E4B2624" w14:textId="77777777" w:rsidR="00015C2D" w:rsidRDefault="00000000">
      <w:r>
        <w:t>Step 1 - Reanalyze available trial data to characterize current gaze quality and test retrospective BCEA feasibility.</w:t>
      </w:r>
    </w:p>
    <w:p w14:paraId="24033F59" w14:textId="77777777" w:rsidR="00015C2D" w:rsidRDefault="00000000">
      <w:pPr>
        <w:pStyle w:val="BodyText"/>
      </w:pPr>
      <w:r>
        <w:t>Step 2 - Implement the dedicated Unity Anti-Saccade Test and the dedicated Unity Fixation-Stability Test.</w:t>
      </w:r>
    </w:p>
    <w:p w14:paraId="2BA1EE02" w14:textId="77777777" w:rsidR="00015C2D" w:rsidRDefault="00000000">
      <w:pPr>
        <w:pStyle w:val="BodyText"/>
      </w:pPr>
      <w:r>
        <w:t>Step 3 - Validate timing, spatial performance, event classification, and test-retest repeatability for both tasks.</w:t>
      </w:r>
    </w:p>
    <w:p w14:paraId="7E3490CC" w14:textId="77777777" w:rsidR="00015C2D" w:rsidRDefault="00000000">
      <w:pPr>
        <w:pStyle w:val="BodyText"/>
      </w:pPr>
      <w:r>
        <w:t>Step 4 - Validate selected pupil outputs on XR-4 under controlled luminance.</w:t>
      </w:r>
    </w:p>
    <w:p w14:paraId="41A3ECA7" w14:textId="77777777" w:rsidR="00015C2D" w:rsidRDefault="00000000">
      <w:pPr>
        <w:pStyle w:val="BodyText"/>
      </w:pPr>
      <w:r>
        <w:t>Step 5 - When an appropriate approved pharmacological study is available, test within-subject drug/placebo change and compare the new measures with established NeuroCart outcomes.</w:t>
      </w:r>
    </w:p>
    <w:p w14:paraId="48BA96F6" w14:textId="77777777" w:rsidR="00015C2D" w:rsidRDefault="00000000">
      <w:pPr>
        <w:pStyle w:val="BodyText"/>
      </w:pPr>
      <w:r>
        <w:t>Step 6 - Retain only measurements that show reproducibility and incremental, interpretable pharmacodynamic value.</w:t>
      </w:r>
    </w:p>
    <w:p w14:paraId="393E4278" w14:textId="77777777" w:rsidR="00015C2D" w:rsidRDefault="00000000">
      <w:pPr>
        <w:pStyle w:val="Heading1"/>
      </w:pPr>
      <w:bookmarkStart w:id="31" w:name="Xcec72c5f6c991b8cdfb4501dd165814dc43947d"/>
      <w:bookmarkEnd w:id="26"/>
      <w:bookmarkEnd w:id="30"/>
      <w:r>
        <w:t>7. Future Separate Direction: VR-SSVEP</w:t>
      </w:r>
    </w:p>
    <w:p w14:paraId="2488CD09" w14:textId="77777777" w:rsidR="00015C2D" w:rsidRDefault="00000000">
      <w:r>
        <w:t>A steady-state visual evoked potential (SSVEP) is an EEG response elicited by periodic visual stimulation. Si-Mohammed et al. describe an increase in occipital EEG power at the frequency of an attended flickering stimulus in a VR brain-computer-interface study [12]. Kim et al. also implemented SSVEP stimulation in VR and showed that stimulus presentation design affects performance and comfort [13].</w:t>
      </w:r>
    </w:p>
    <w:p w14:paraId="2F2EAB23" w14:textId="77777777" w:rsidR="00015C2D" w:rsidRDefault="00000000">
      <w:pPr>
        <w:pStyle w:val="BodyText"/>
      </w:pPr>
      <w:r>
        <w:t>SSVEP is fundamentally different from the core eye-movement proposals because it requires EEG recording. Larsen et al. provide proof of technical feasibility for synchronized EEG and eye tracking in immersive VR, but their reported timing values are specific to their hardware configuration and should not be transferred to a Varjo/TMSi configuration [14].</w:t>
      </w:r>
    </w:p>
    <w:p w14:paraId="2C682187" w14:textId="77777777" w:rsidR="00015C2D" w:rsidRDefault="00000000">
      <w:pPr>
        <w:pStyle w:val="BodyText"/>
      </w:pPr>
      <w:r>
        <w:t>The cited studies support VR-SSVEP feasibility, not acute drug responsiveness. SSVEP should therefore remain a separate future feasibility project rather than a current core eye-tracking biomarker.</w:t>
      </w:r>
    </w:p>
    <w:p w14:paraId="31DAFA48" w14:textId="77777777" w:rsidR="00015C2D" w:rsidRDefault="00000000">
      <w:pPr>
        <w:pStyle w:val="Heading1"/>
      </w:pPr>
      <w:bookmarkStart w:id="32" w:name="X3a4822fb8e0d370c03783cb0b7da0d519240673"/>
      <w:bookmarkEnd w:id="31"/>
      <w:r>
        <w:t>8. Final Biomarker Mapping and Prioritization</w:t>
      </w:r>
    </w:p>
    <w:p w14:paraId="38C06583" w14:textId="77777777" w:rsidR="00015C2D" w:rsidRDefault="00000000">
      <w:r>
        <w:t>The biomarker mapping is deliberately placed near the end of the report, after the scientific rationale, hardware feasibility, and validation requirements have been evaluated.</w:t>
      </w:r>
    </w:p>
    <w:p w14:paraId="480325C3" w14:textId="77777777" w:rsidR="00015C2D" w:rsidRDefault="00000000">
      <w:pPr>
        <w:pStyle w:val="BodyText"/>
        <w:keepNext/>
        <w:spacing w:before="60" w:after="80"/>
      </w:pPr>
      <w:r>
        <w:rPr>
          <w:i/>
          <w:iCs/>
        </w:rPr>
        <w:lastRenderedPageBreak/>
        <w:t>Table 1. Final biomarker functional mapping and prioritization.</w:t>
      </w:r>
    </w:p>
    <w:tbl>
      <w:tblPr>
        <w:tblStyle w:val="TableGrid"/>
        <w:tblW w:w="10080" w:type="dxa"/>
        <w:tblInd w:w="110" w:type="dxa"/>
        <w:tblLayout w:type="fixed"/>
        <w:tblLook w:val="04A0" w:firstRow="1" w:lastRow="0" w:firstColumn="1" w:lastColumn="0" w:noHBand="0" w:noVBand="1"/>
      </w:tblPr>
      <w:tblGrid>
        <w:gridCol w:w="1575"/>
        <w:gridCol w:w="2205"/>
        <w:gridCol w:w="4032"/>
        <w:gridCol w:w="2268"/>
      </w:tblGrid>
      <w:tr w:rsidR="00015C2D" w14:paraId="52239C2B" w14:textId="77777777">
        <w:trPr>
          <w:tblHeader/>
        </w:trPr>
        <w:tc>
          <w:tcPr>
            <w:tcW w:w="1575" w:type="dxa"/>
            <w:shd w:val="clear" w:color="auto" w:fill="1F4E79"/>
            <w:tcMar>
              <w:top w:w="90" w:type="dxa"/>
              <w:left w:w="110" w:type="dxa"/>
              <w:bottom w:w="90" w:type="dxa"/>
              <w:right w:w="110" w:type="dxa"/>
            </w:tcMar>
            <w:vAlign w:val="center"/>
          </w:tcPr>
          <w:p w14:paraId="3BCC7525" w14:textId="77777777" w:rsidR="00015C2D" w:rsidRDefault="00000000">
            <w:pPr>
              <w:spacing w:after="40" w:line="252" w:lineRule="auto"/>
            </w:pPr>
            <w:r>
              <w:rPr>
                <w:b/>
                <w:color w:val="FFFFFF"/>
                <w:sz w:val="16"/>
              </w:rPr>
              <w:t>Measurement</w:t>
            </w:r>
          </w:p>
        </w:tc>
        <w:tc>
          <w:tcPr>
            <w:tcW w:w="2205" w:type="dxa"/>
            <w:shd w:val="clear" w:color="auto" w:fill="1F4E79"/>
            <w:tcMar>
              <w:top w:w="90" w:type="dxa"/>
              <w:left w:w="110" w:type="dxa"/>
              <w:bottom w:w="90" w:type="dxa"/>
              <w:right w:w="110" w:type="dxa"/>
            </w:tcMar>
            <w:vAlign w:val="center"/>
          </w:tcPr>
          <w:p w14:paraId="2DB6D4F9" w14:textId="77777777" w:rsidR="00015C2D" w:rsidRDefault="00000000">
            <w:pPr>
              <w:spacing w:after="40" w:line="252" w:lineRule="auto"/>
            </w:pPr>
            <w:r>
              <w:rPr>
                <w:b/>
                <w:color w:val="FFFFFF"/>
                <w:sz w:val="16"/>
              </w:rPr>
              <w:t>Main functional contribution</w:t>
            </w:r>
          </w:p>
        </w:tc>
        <w:tc>
          <w:tcPr>
            <w:tcW w:w="4032" w:type="dxa"/>
            <w:shd w:val="clear" w:color="auto" w:fill="1F4E79"/>
            <w:tcMar>
              <w:top w:w="90" w:type="dxa"/>
              <w:left w:w="110" w:type="dxa"/>
              <w:bottom w:w="90" w:type="dxa"/>
              <w:right w:w="110" w:type="dxa"/>
            </w:tcMar>
            <w:vAlign w:val="center"/>
          </w:tcPr>
          <w:p w14:paraId="5A1527B3" w14:textId="77777777" w:rsidR="00015C2D" w:rsidRDefault="00000000">
            <w:pPr>
              <w:spacing w:after="40" w:line="252" w:lineRule="auto"/>
            </w:pPr>
            <w:r>
              <w:rPr>
                <w:b/>
                <w:color w:val="FFFFFF"/>
                <w:sz w:val="16"/>
              </w:rPr>
              <w:t>Current evidence boundary</w:t>
            </w:r>
          </w:p>
        </w:tc>
        <w:tc>
          <w:tcPr>
            <w:tcW w:w="2268" w:type="dxa"/>
            <w:shd w:val="clear" w:color="auto" w:fill="1F4E79"/>
            <w:tcMar>
              <w:top w:w="90" w:type="dxa"/>
              <w:left w:w="110" w:type="dxa"/>
              <w:bottom w:w="90" w:type="dxa"/>
              <w:right w:w="110" w:type="dxa"/>
            </w:tcMar>
            <w:vAlign w:val="center"/>
          </w:tcPr>
          <w:p w14:paraId="78A0F6A9" w14:textId="77777777" w:rsidR="00015C2D" w:rsidRDefault="00000000">
            <w:pPr>
              <w:spacing w:after="40" w:line="252" w:lineRule="auto"/>
            </w:pPr>
            <w:r>
              <w:rPr>
                <w:b/>
                <w:color w:val="FFFFFF"/>
                <w:sz w:val="16"/>
              </w:rPr>
              <w:t>NeuroKit decision</w:t>
            </w:r>
          </w:p>
        </w:tc>
      </w:tr>
      <w:tr w:rsidR="00015C2D" w14:paraId="5236B3A5" w14:textId="77777777">
        <w:tc>
          <w:tcPr>
            <w:tcW w:w="1575" w:type="dxa"/>
            <w:tcMar>
              <w:top w:w="90" w:type="dxa"/>
              <w:left w:w="110" w:type="dxa"/>
              <w:bottom w:w="90" w:type="dxa"/>
              <w:right w:w="110" w:type="dxa"/>
            </w:tcMar>
            <w:vAlign w:val="center"/>
          </w:tcPr>
          <w:p w14:paraId="3B2AF151" w14:textId="77777777" w:rsidR="00015C2D" w:rsidRDefault="00000000">
            <w:pPr>
              <w:spacing w:after="40" w:line="252" w:lineRule="auto"/>
            </w:pPr>
            <w:r>
              <w:rPr>
                <w:sz w:val="16"/>
              </w:rPr>
              <w:t>Saccadic Peak Velocity</w:t>
            </w:r>
          </w:p>
        </w:tc>
        <w:tc>
          <w:tcPr>
            <w:tcW w:w="2205" w:type="dxa"/>
            <w:tcMar>
              <w:top w:w="90" w:type="dxa"/>
              <w:left w:w="110" w:type="dxa"/>
              <w:bottom w:w="90" w:type="dxa"/>
              <w:right w:w="110" w:type="dxa"/>
            </w:tcMar>
            <w:vAlign w:val="center"/>
          </w:tcPr>
          <w:p w14:paraId="79788624" w14:textId="77777777" w:rsidR="00015C2D" w:rsidRDefault="00000000">
            <w:pPr>
              <w:spacing w:after="40" w:line="252" w:lineRule="auto"/>
            </w:pPr>
            <w:r>
              <w:rPr>
                <w:sz w:val="16"/>
              </w:rPr>
              <w:t>Oculomotor speed</w:t>
            </w:r>
          </w:p>
        </w:tc>
        <w:tc>
          <w:tcPr>
            <w:tcW w:w="4032" w:type="dxa"/>
            <w:tcMar>
              <w:top w:w="90" w:type="dxa"/>
              <w:left w:w="110" w:type="dxa"/>
              <w:bottom w:w="90" w:type="dxa"/>
              <w:right w:w="110" w:type="dxa"/>
            </w:tcMar>
            <w:vAlign w:val="center"/>
          </w:tcPr>
          <w:p w14:paraId="1FBF0B7D" w14:textId="77777777" w:rsidR="00015C2D" w:rsidRDefault="00000000">
            <w:pPr>
              <w:spacing w:after="40" w:line="252" w:lineRule="auto"/>
            </w:pPr>
            <w:r>
              <w:rPr>
                <w:sz w:val="16"/>
              </w:rPr>
              <w:t>Established NeuroCart/early pharmacodynamic comparator [1,2]</w:t>
            </w:r>
          </w:p>
        </w:tc>
        <w:tc>
          <w:tcPr>
            <w:tcW w:w="2268" w:type="dxa"/>
            <w:tcMar>
              <w:top w:w="90" w:type="dxa"/>
              <w:left w:w="110" w:type="dxa"/>
              <w:bottom w:w="90" w:type="dxa"/>
              <w:right w:w="110" w:type="dxa"/>
            </w:tcMar>
            <w:vAlign w:val="center"/>
          </w:tcPr>
          <w:p w14:paraId="7F289059" w14:textId="77777777" w:rsidR="00015C2D" w:rsidRDefault="00000000">
            <w:pPr>
              <w:spacing w:after="40" w:line="252" w:lineRule="auto"/>
            </w:pPr>
            <w:r>
              <w:rPr>
                <w:sz w:val="16"/>
              </w:rPr>
              <w:t>Current comparator</w:t>
            </w:r>
          </w:p>
        </w:tc>
      </w:tr>
      <w:tr w:rsidR="00015C2D" w14:paraId="21882934" w14:textId="77777777">
        <w:tc>
          <w:tcPr>
            <w:tcW w:w="1575" w:type="dxa"/>
            <w:shd w:val="clear" w:color="auto" w:fill="F3F6F9"/>
            <w:tcMar>
              <w:top w:w="90" w:type="dxa"/>
              <w:left w:w="110" w:type="dxa"/>
              <w:bottom w:w="90" w:type="dxa"/>
              <w:right w:w="110" w:type="dxa"/>
            </w:tcMar>
            <w:vAlign w:val="center"/>
          </w:tcPr>
          <w:p w14:paraId="1796B0F6" w14:textId="77777777" w:rsidR="00015C2D" w:rsidRDefault="00000000">
            <w:pPr>
              <w:spacing w:after="40" w:line="252" w:lineRule="auto"/>
            </w:pPr>
            <w:r>
              <w:rPr>
                <w:sz w:val="16"/>
              </w:rPr>
              <w:t>Reaction Time</w:t>
            </w:r>
          </w:p>
        </w:tc>
        <w:tc>
          <w:tcPr>
            <w:tcW w:w="2205" w:type="dxa"/>
            <w:shd w:val="clear" w:color="auto" w:fill="F3F6F9"/>
            <w:tcMar>
              <w:top w:w="90" w:type="dxa"/>
              <w:left w:w="110" w:type="dxa"/>
              <w:bottom w:w="90" w:type="dxa"/>
              <w:right w:w="110" w:type="dxa"/>
            </w:tcMar>
            <w:vAlign w:val="center"/>
          </w:tcPr>
          <w:p w14:paraId="0B0F960D" w14:textId="77777777" w:rsidR="00015C2D" w:rsidRDefault="00000000">
            <w:pPr>
              <w:spacing w:after="40" w:line="252" w:lineRule="auto"/>
            </w:pPr>
            <w:r>
              <w:rPr>
                <w:sz w:val="16"/>
              </w:rPr>
              <w:t>Response speed / attention-related performance</w:t>
            </w:r>
          </w:p>
        </w:tc>
        <w:tc>
          <w:tcPr>
            <w:tcW w:w="4032" w:type="dxa"/>
            <w:shd w:val="clear" w:color="auto" w:fill="F3F6F9"/>
            <w:tcMar>
              <w:top w:w="90" w:type="dxa"/>
              <w:left w:w="110" w:type="dxa"/>
              <w:bottom w:w="90" w:type="dxa"/>
              <w:right w:w="110" w:type="dxa"/>
            </w:tcMar>
            <w:vAlign w:val="center"/>
          </w:tcPr>
          <w:p w14:paraId="6FFC2B8A" w14:textId="77777777" w:rsidR="00015C2D" w:rsidRDefault="00000000">
            <w:pPr>
              <w:spacing w:after="40" w:line="252" w:lineRule="auto"/>
            </w:pPr>
            <w:r>
              <w:rPr>
                <w:sz w:val="16"/>
              </w:rPr>
              <w:t>Frequently used CNS functional measure; the review also notes substantial variability and limited sensitivity for reaction-time measures [1]</w:t>
            </w:r>
          </w:p>
        </w:tc>
        <w:tc>
          <w:tcPr>
            <w:tcW w:w="2268" w:type="dxa"/>
            <w:shd w:val="clear" w:color="auto" w:fill="F3F6F9"/>
            <w:tcMar>
              <w:top w:w="90" w:type="dxa"/>
              <w:left w:w="110" w:type="dxa"/>
              <w:bottom w:w="90" w:type="dxa"/>
              <w:right w:w="110" w:type="dxa"/>
            </w:tcMar>
            <w:vAlign w:val="center"/>
          </w:tcPr>
          <w:p w14:paraId="381F3D87" w14:textId="77777777" w:rsidR="00015C2D" w:rsidRDefault="00000000">
            <w:pPr>
              <w:spacing w:after="40" w:line="252" w:lineRule="auto"/>
            </w:pPr>
            <w:r>
              <w:rPr>
                <w:sz w:val="16"/>
              </w:rPr>
              <w:t>Current comparator</w:t>
            </w:r>
          </w:p>
        </w:tc>
      </w:tr>
      <w:tr w:rsidR="00015C2D" w14:paraId="47945EE4" w14:textId="77777777">
        <w:tc>
          <w:tcPr>
            <w:tcW w:w="1575" w:type="dxa"/>
            <w:tcMar>
              <w:top w:w="90" w:type="dxa"/>
              <w:left w:w="110" w:type="dxa"/>
              <w:bottom w:w="90" w:type="dxa"/>
              <w:right w:w="110" w:type="dxa"/>
            </w:tcMar>
            <w:vAlign w:val="center"/>
          </w:tcPr>
          <w:p w14:paraId="7FA17C77" w14:textId="77777777" w:rsidR="00015C2D" w:rsidRDefault="00000000">
            <w:pPr>
              <w:spacing w:after="40" w:line="252" w:lineRule="auto"/>
            </w:pPr>
            <w:r>
              <w:rPr>
                <w:sz w:val="16"/>
              </w:rPr>
              <w:t>Smooth Pursuit</w:t>
            </w:r>
          </w:p>
        </w:tc>
        <w:tc>
          <w:tcPr>
            <w:tcW w:w="2205" w:type="dxa"/>
            <w:tcMar>
              <w:top w:w="90" w:type="dxa"/>
              <w:left w:w="110" w:type="dxa"/>
              <w:bottom w:w="90" w:type="dxa"/>
              <w:right w:w="110" w:type="dxa"/>
            </w:tcMar>
            <w:vAlign w:val="center"/>
          </w:tcPr>
          <w:p w14:paraId="7130D37E" w14:textId="77777777" w:rsidR="00015C2D" w:rsidRDefault="00000000">
            <w:pPr>
              <w:spacing w:after="40" w:line="252" w:lineRule="auto"/>
            </w:pPr>
            <w:r>
              <w:rPr>
                <w:sz w:val="16"/>
              </w:rPr>
              <w:t>Continuous visual tracking</w:t>
            </w:r>
          </w:p>
        </w:tc>
        <w:tc>
          <w:tcPr>
            <w:tcW w:w="4032" w:type="dxa"/>
            <w:tcMar>
              <w:top w:w="90" w:type="dxa"/>
              <w:left w:w="110" w:type="dxa"/>
              <w:bottom w:w="90" w:type="dxa"/>
              <w:right w:w="110" w:type="dxa"/>
            </w:tcMar>
            <w:vAlign w:val="center"/>
          </w:tcPr>
          <w:p w14:paraId="792E891F" w14:textId="77777777" w:rsidR="00015C2D" w:rsidRDefault="00000000">
            <w:pPr>
              <w:spacing w:after="40" w:line="252" w:lineRule="auto"/>
            </w:pPr>
            <w:r>
              <w:rPr>
                <w:sz w:val="16"/>
              </w:rPr>
              <w:t>Established NeuroCart neurophysiological measure [2]</w:t>
            </w:r>
          </w:p>
        </w:tc>
        <w:tc>
          <w:tcPr>
            <w:tcW w:w="2268" w:type="dxa"/>
            <w:tcMar>
              <w:top w:w="90" w:type="dxa"/>
              <w:left w:w="110" w:type="dxa"/>
              <w:bottom w:w="90" w:type="dxa"/>
              <w:right w:w="110" w:type="dxa"/>
            </w:tcMar>
            <w:vAlign w:val="center"/>
          </w:tcPr>
          <w:p w14:paraId="094F7050" w14:textId="77777777" w:rsidR="00015C2D" w:rsidRDefault="00000000">
            <w:pPr>
              <w:spacing w:after="40" w:line="252" w:lineRule="auto"/>
            </w:pPr>
            <w:r>
              <w:rPr>
                <w:sz w:val="16"/>
              </w:rPr>
              <w:t>Current comparator</w:t>
            </w:r>
          </w:p>
        </w:tc>
      </w:tr>
      <w:tr w:rsidR="00015C2D" w14:paraId="07A0ECD3" w14:textId="77777777">
        <w:tc>
          <w:tcPr>
            <w:tcW w:w="1575" w:type="dxa"/>
            <w:shd w:val="clear" w:color="auto" w:fill="F3F6F9"/>
            <w:tcMar>
              <w:top w:w="90" w:type="dxa"/>
              <w:left w:w="110" w:type="dxa"/>
              <w:bottom w:w="90" w:type="dxa"/>
              <w:right w:w="110" w:type="dxa"/>
            </w:tcMar>
            <w:vAlign w:val="center"/>
          </w:tcPr>
          <w:p w14:paraId="220922A7" w14:textId="77777777" w:rsidR="00015C2D" w:rsidRDefault="00000000">
            <w:pPr>
              <w:spacing w:after="40" w:line="252" w:lineRule="auto"/>
            </w:pPr>
            <w:r>
              <w:rPr>
                <w:sz w:val="16"/>
              </w:rPr>
              <w:t>Anti-saccade</w:t>
            </w:r>
          </w:p>
        </w:tc>
        <w:tc>
          <w:tcPr>
            <w:tcW w:w="2205" w:type="dxa"/>
            <w:shd w:val="clear" w:color="auto" w:fill="F3F6F9"/>
            <w:tcMar>
              <w:top w:w="90" w:type="dxa"/>
              <w:left w:w="110" w:type="dxa"/>
              <w:bottom w:w="90" w:type="dxa"/>
              <w:right w:w="110" w:type="dxa"/>
            </w:tcMar>
            <w:vAlign w:val="center"/>
          </w:tcPr>
          <w:p w14:paraId="538321A1" w14:textId="77777777" w:rsidR="00015C2D" w:rsidRDefault="00000000">
            <w:pPr>
              <w:spacing w:after="40" w:line="252" w:lineRule="auto"/>
            </w:pPr>
            <w:r>
              <w:rPr>
                <w:sz w:val="16"/>
              </w:rPr>
              <w:t>Executive control expressed through saccadic latency, accuracy, and error behavior</w:t>
            </w:r>
          </w:p>
        </w:tc>
        <w:tc>
          <w:tcPr>
            <w:tcW w:w="4032" w:type="dxa"/>
            <w:shd w:val="clear" w:color="auto" w:fill="F3F6F9"/>
            <w:tcMar>
              <w:top w:w="90" w:type="dxa"/>
              <w:left w:w="110" w:type="dxa"/>
              <w:bottom w:w="90" w:type="dxa"/>
              <w:right w:w="110" w:type="dxa"/>
            </w:tcMar>
            <w:vAlign w:val="center"/>
          </w:tcPr>
          <w:p w14:paraId="68AE09D5" w14:textId="77777777" w:rsidR="00015C2D" w:rsidRDefault="00000000">
            <w:pPr>
              <w:spacing w:after="40" w:line="252" w:lineRule="auto"/>
            </w:pPr>
            <w:r>
              <w:rPr>
                <w:sz w:val="16"/>
              </w:rPr>
              <w:t>Anti-saccadic outcomes and executive-function relevance are supported by disease-focused ocular evidence [9]; direct NeuroKit drug responsiveness is not established</w:t>
            </w:r>
          </w:p>
        </w:tc>
        <w:tc>
          <w:tcPr>
            <w:tcW w:w="2268" w:type="dxa"/>
            <w:shd w:val="clear" w:color="auto" w:fill="F3F6F9"/>
            <w:tcMar>
              <w:top w:w="90" w:type="dxa"/>
              <w:left w:w="110" w:type="dxa"/>
              <w:bottom w:w="90" w:type="dxa"/>
              <w:right w:w="110" w:type="dxa"/>
            </w:tcMar>
            <w:vAlign w:val="center"/>
          </w:tcPr>
          <w:p w14:paraId="77BC233E" w14:textId="77777777" w:rsidR="00015C2D" w:rsidRDefault="00000000">
            <w:pPr>
              <w:spacing w:after="40" w:line="252" w:lineRule="auto"/>
            </w:pPr>
            <w:r>
              <w:rPr>
                <w:b/>
                <w:sz w:val="16"/>
              </w:rPr>
              <w:t>Core proposed Unity task</w:t>
            </w:r>
          </w:p>
        </w:tc>
      </w:tr>
      <w:tr w:rsidR="00015C2D" w14:paraId="29AB1B2D" w14:textId="77777777">
        <w:tc>
          <w:tcPr>
            <w:tcW w:w="1575" w:type="dxa"/>
            <w:tcMar>
              <w:top w:w="90" w:type="dxa"/>
              <w:left w:w="110" w:type="dxa"/>
              <w:bottom w:w="90" w:type="dxa"/>
              <w:right w:w="110" w:type="dxa"/>
            </w:tcMar>
            <w:vAlign w:val="center"/>
          </w:tcPr>
          <w:p w14:paraId="43AA1253" w14:textId="77777777" w:rsidR="00015C2D" w:rsidRDefault="00000000">
            <w:pPr>
              <w:spacing w:after="40" w:line="252" w:lineRule="auto"/>
            </w:pPr>
            <w:r>
              <w:rPr>
                <w:sz w:val="16"/>
              </w:rPr>
              <w:t>BCEA / Fixation Stability</w:t>
            </w:r>
          </w:p>
        </w:tc>
        <w:tc>
          <w:tcPr>
            <w:tcW w:w="2205" w:type="dxa"/>
            <w:tcMar>
              <w:top w:w="90" w:type="dxa"/>
              <w:left w:w="110" w:type="dxa"/>
              <w:bottom w:w="90" w:type="dxa"/>
              <w:right w:w="110" w:type="dxa"/>
            </w:tcMar>
            <w:vAlign w:val="center"/>
          </w:tcPr>
          <w:p w14:paraId="6E8DD26A" w14:textId="77777777" w:rsidR="00015C2D" w:rsidRDefault="00000000">
            <w:pPr>
              <w:spacing w:after="40" w:line="252" w:lineRule="auto"/>
            </w:pPr>
            <w:r>
              <w:rPr>
                <w:sz w:val="16"/>
              </w:rPr>
              <w:t>Spatial stability of gaze during fixation</w:t>
            </w:r>
          </w:p>
        </w:tc>
        <w:tc>
          <w:tcPr>
            <w:tcW w:w="4032" w:type="dxa"/>
            <w:tcMar>
              <w:top w:w="90" w:type="dxa"/>
              <w:left w:w="110" w:type="dxa"/>
              <w:bottom w:w="90" w:type="dxa"/>
              <w:right w:w="110" w:type="dxa"/>
            </w:tcMar>
            <w:vAlign w:val="center"/>
          </w:tcPr>
          <w:p w14:paraId="51CE2BA9" w14:textId="77777777" w:rsidR="00015C2D" w:rsidRDefault="00000000">
            <w:pPr>
              <w:spacing w:after="40" w:line="252" w:lineRule="auto"/>
            </w:pPr>
            <w:r>
              <w:rPr>
                <w:sz w:val="16"/>
              </w:rPr>
              <w:t>Fixation-stability biomarker evidence exists [5,6]; acute pharmacological responsiveness is not established</w:t>
            </w:r>
          </w:p>
        </w:tc>
        <w:tc>
          <w:tcPr>
            <w:tcW w:w="2268" w:type="dxa"/>
            <w:tcMar>
              <w:top w:w="90" w:type="dxa"/>
              <w:left w:w="110" w:type="dxa"/>
              <w:bottom w:w="90" w:type="dxa"/>
              <w:right w:w="110" w:type="dxa"/>
            </w:tcMar>
            <w:vAlign w:val="center"/>
          </w:tcPr>
          <w:p w14:paraId="6D6DD5AC" w14:textId="77777777" w:rsidR="00015C2D" w:rsidRDefault="00000000">
            <w:pPr>
              <w:spacing w:after="40" w:line="252" w:lineRule="auto"/>
            </w:pPr>
            <w:r>
              <w:rPr>
                <w:b/>
                <w:sz w:val="16"/>
              </w:rPr>
              <w:t>Core proposed Unity task</w:t>
            </w:r>
          </w:p>
        </w:tc>
      </w:tr>
      <w:tr w:rsidR="00015C2D" w14:paraId="10DF4D92" w14:textId="77777777">
        <w:tc>
          <w:tcPr>
            <w:tcW w:w="1575" w:type="dxa"/>
            <w:shd w:val="clear" w:color="auto" w:fill="F3F6F9"/>
            <w:tcMar>
              <w:top w:w="90" w:type="dxa"/>
              <w:left w:w="110" w:type="dxa"/>
              <w:bottom w:w="90" w:type="dxa"/>
              <w:right w:w="110" w:type="dxa"/>
            </w:tcMar>
            <w:vAlign w:val="center"/>
          </w:tcPr>
          <w:p w14:paraId="243E5235" w14:textId="77777777" w:rsidR="00015C2D" w:rsidRDefault="00000000">
            <w:pPr>
              <w:spacing w:after="40" w:line="252" w:lineRule="auto"/>
            </w:pPr>
            <w:r>
              <w:rPr>
                <w:sz w:val="16"/>
              </w:rPr>
              <w:t>Pupil size / amplitude / integrated response</w:t>
            </w:r>
          </w:p>
        </w:tc>
        <w:tc>
          <w:tcPr>
            <w:tcW w:w="2205" w:type="dxa"/>
            <w:shd w:val="clear" w:color="auto" w:fill="F3F6F9"/>
            <w:tcMar>
              <w:top w:w="90" w:type="dxa"/>
              <w:left w:w="110" w:type="dxa"/>
              <w:bottom w:w="90" w:type="dxa"/>
              <w:right w:w="110" w:type="dxa"/>
            </w:tcMar>
            <w:vAlign w:val="center"/>
          </w:tcPr>
          <w:p w14:paraId="05E49253" w14:textId="77777777" w:rsidR="00015C2D" w:rsidRDefault="00000000">
            <w:pPr>
              <w:spacing w:after="40" w:line="252" w:lineRule="auto"/>
            </w:pPr>
            <w:r>
              <w:rPr>
                <w:sz w:val="16"/>
              </w:rPr>
              <w:t>Pupillary response</w:t>
            </w:r>
          </w:p>
        </w:tc>
        <w:tc>
          <w:tcPr>
            <w:tcW w:w="4032" w:type="dxa"/>
            <w:shd w:val="clear" w:color="auto" w:fill="F3F6F9"/>
            <w:tcMar>
              <w:top w:w="90" w:type="dxa"/>
              <w:left w:w="110" w:type="dxa"/>
              <w:bottom w:w="90" w:type="dxa"/>
              <w:right w:w="110" w:type="dxa"/>
            </w:tcMar>
            <w:vAlign w:val="center"/>
          </w:tcPr>
          <w:p w14:paraId="2CCE302D" w14:textId="77777777" w:rsidR="00015C2D" w:rsidRDefault="00000000">
            <w:pPr>
              <w:spacing w:after="40" w:line="252" w:lineRule="auto"/>
            </w:pPr>
            <w:r>
              <w:rPr>
                <w:sz w:val="16"/>
              </w:rPr>
              <w:t>CHDR internal repeatability supports selected measures [7]; headset-specific artifact risk remains [8]</w:t>
            </w:r>
          </w:p>
        </w:tc>
        <w:tc>
          <w:tcPr>
            <w:tcW w:w="2268" w:type="dxa"/>
            <w:shd w:val="clear" w:color="auto" w:fill="F3F6F9"/>
            <w:tcMar>
              <w:top w:w="90" w:type="dxa"/>
              <w:left w:w="110" w:type="dxa"/>
              <w:bottom w:w="90" w:type="dxa"/>
              <w:right w:w="110" w:type="dxa"/>
            </w:tcMar>
            <w:vAlign w:val="center"/>
          </w:tcPr>
          <w:p w14:paraId="7D1B06C2" w14:textId="77777777" w:rsidR="00015C2D" w:rsidRDefault="00000000">
            <w:pPr>
              <w:spacing w:after="40" w:line="252" w:lineRule="auto"/>
            </w:pPr>
            <w:r>
              <w:rPr>
                <w:sz w:val="16"/>
              </w:rPr>
              <w:t>Secondary exploratory candidate</w:t>
            </w:r>
          </w:p>
        </w:tc>
      </w:tr>
      <w:tr w:rsidR="00015C2D" w14:paraId="3F24695E" w14:textId="77777777">
        <w:tc>
          <w:tcPr>
            <w:tcW w:w="1575" w:type="dxa"/>
            <w:tcMar>
              <w:top w:w="90" w:type="dxa"/>
              <w:left w:w="110" w:type="dxa"/>
              <w:bottom w:w="90" w:type="dxa"/>
              <w:right w:w="110" w:type="dxa"/>
            </w:tcMar>
            <w:vAlign w:val="center"/>
          </w:tcPr>
          <w:p w14:paraId="61AF8EB6" w14:textId="77777777" w:rsidR="00015C2D" w:rsidRDefault="00000000">
            <w:pPr>
              <w:spacing w:after="40" w:line="252" w:lineRule="auto"/>
            </w:pPr>
            <w:r>
              <w:rPr>
                <w:sz w:val="16"/>
              </w:rPr>
              <w:t>Microsaccades</w:t>
            </w:r>
          </w:p>
        </w:tc>
        <w:tc>
          <w:tcPr>
            <w:tcW w:w="2205" w:type="dxa"/>
            <w:tcMar>
              <w:top w:w="90" w:type="dxa"/>
              <w:left w:w="110" w:type="dxa"/>
              <w:bottom w:w="90" w:type="dxa"/>
              <w:right w:w="110" w:type="dxa"/>
            </w:tcMar>
            <w:vAlign w:val="center"/>
          </w:tcPr>
          <w:p w14:paraId="2702D08F" w14:textId="77777777" w:rsidR="00015C2D" w:rsidRDefault="00000000">
            <w:pPr>
              <w:spacing w:after="40" w:line="252" w:lineRule="auto"/>
            </w:pPr>
            <w:r>
              <w:rPr>
                <w:sz w:val="16"/>
              </w:rPr>
              <w:t>Attention and micro-fixation behavior</w:t>
            </w:r>
          </w:p>
        </w:tc>
        <w:tc>
          <w:tcPr>
            <w:tcW w:w="4032" w:type="dxa"/>
            <w:tcMar>
              <w:top w:w="90" w:type="dxa"/>
              <w:left w:w="110" w:type="dxa"/>
              <w:bottom w:w="90" w:type="dxa"/>
              <w:right w:w="110" w:type="dxa"/>
            </w:tcMar>
            <w:vAlign w:val="center"/>
          </w:tcPr>
          <w:p w14:paraId="3207BBC4" w14:textId="77777777" w:rsidR="00015C2D" w:rsidRDefault="00000000">
            <w:pPr>
              <w:spacing w:after="40" w:line="252" w:lineRule="auto"/>
            </w:pPr>
            <w:r>
              <w:rPr>
                <w:sz w:val="16"/>
              </w:rPr>
              <w:t>Scientific relevance is supported [10], but 200 Hz provides sparse native sampling for 6-30 ms events [4,10] and fast-event analysis is sampling-rate sensitive [11]</w:t>
            </w:r>
          </w:p>
        </w:tc>
        <w:tc>
          <w:tcPr>
            <w:tcW w:w="2268" w:type="dxa"/>
            <w:tcMar>
              <w:top w:w="90" w:type="dxa"/>
              <w:left w:w="110" w:type="dxa"/>
              <w:bottom w:w="90" w:type="dxa"/>
              <w:right w:w="110" w:type="dxa"/>
            </w:tcMar>
            <w:vAlign w:val="center"/>
          </w:tcPr>
          <w:p w14:paraId="6DBB226C" w14:textId="77777777" w:rsidR="00015C2D" w:rsidRDefault="00000000">
            <w:pPr>
              <w:spacing w:after="40" w:line="252" w:lineRule="auto"/>
            </w:pPr>
            <w:r>
              <w:rPr>
                <w:sz w:val="16"/>
              </w:rPr>
              <w:t>Research only; not a primary XR-4 event-level biomarker</w:t>
            </w:r>
          </w:p>
        </w:tc>
      </w:tr>
      <w:tr w:rsidR="00015C2D" w14:paraId="597340E2" w14:textId="77777777">
        <w:tc>
          <w:tcPr>
            <w:tcW w:w="1575" w:type="dxa"/>
            <w:shd w:val="clear" w:color="auto" w:fill="F3F6F9"/>
            <w:tcMar>
              <w:top w:w="90" w:type="dxa"/>
              <w:left w:w="110" w:type="dxa"/>
              <w:bottom w:w="90" w:type="dxa"/>
              <w:right w:w="110" w:type="dxa"/>
            </w:tcMar>
            <w:vAlign w:val="center"/>
          </w:tcPr>
          <w:p w14:paraId="72EB16C8" w14:textId="77777777" w:rsidR="00015C2D" w:rsidRDefault="00000000">
            <w:pPr>
              <w:spacing w:after="40" w:line="252" w:lineRule="auto"/>
            </w:pPr>
            <w:r>
              <w:rPr>
                <w:sz w:val="16"/>
              </w:rPr>
              <w:t>Blink events</w:t>
            </w:r>
          </w:p>
        </w:tc>
        <w:tc>
          <w:tcPr>
            <w:tcW w:w="2205" w:type="dxa"/>
            <w:shd w:val="clear" w:color="auto" w:fill="F3F6F9"/>
            <w:tcMar>
              <w:top w:w="90" w:type="dxa"/>
              <w:left w:w="110" w:type="dxa"/>
              <w:bottom w:w="90" w:type="dxa"/>
              <w:right w:w="110" w:type="dxa"/>
            </w:tcMar>
            <w:vAlign w:val="center"/>
          </w:tcPr>
          <w:p w14:paraId="3FD5FC7B" w14:textId="77777777" w:rsidR="00015C2D" w:rsidRDefault="00000000">
            <w:pPr>
              <w:spacing w:after="40" w:line="252" w:lineRule="auto"/>
            </w:pPr>
            <w:r>
              <w:rPr>
                <w:sz w:val="16"/>
              </w:rPr>
              <w:t>Artifact handling and synchronization support</w:t>
            </w:r>
          </w:p>
        </w:tc>
        <w:tc>
          <w:tcPr>
            <w:tcW w:w="4032" w:type="dxa"/>
            <w:shd w:val="clear" w:color="auto" w:fill="F3F6F9"/>
            <w:tcMar>
              <w:top w:w="90" w:type="dxa"/>
              <w:left w:w="110" w:type="dxa"/>
              <w:bottom w:w="90" w:type="dxa"/>
              <w:right w:w="110" w:type="dxa"/>
            </w:tcMar>
            <w:vAlign w:val="center"/>
          </w:tcPr>
          <w:p w14:paraId="0F43BE0C" w14:textId="77777777" w:rsidR="00015C2D" w:rsidRDefault="00000000">
            <w:pPr>
              <w:spacing w:after="40" w:line="252" w:lineRule="auto"/>
            </w:pPr>
            <w:r>
              <w:rPr>
                <w:sz w:val="16"/>
              </w:rPr>
              <w:t>Supported for preprocessing [7] and synchronization checks [14]; drug-responsive value is not established</w:t>
            </w:r>
          </w:p>
        </w:tc>
        <w:tc>
          <w:tcPr>
            <w:tcW w:w="2268" w:type="dxa"/>
            <w:shd w:val="clear" w:color="auto" w:fill="F3F6F9"/>
            <w:tcMar>
              <w:top w:w="90" w:type="dxa"/>
              <w:left w:w="110" w:type="dxa"/>
              <w:bottom w:w="90" w:type="dxa"/>
              <w:right w:w="110" w:type="dxa"/>
            </w:tcMar>
            <w:vAlign w:val="center"/>
          </w:tcPr>
          <w:p w14:paraId="34DE9126" w14:textId="77777777" w:rsidR="00015C2D" w:rsidRDefault="00000000">
            <w:pPr>
              <w:spacing w:after="40" w:line="252" w:lineRule="auto"/>
            </w:pPr>
            <w:r>
              <w:rPr>
                <w:sz w:val="16"/>
              </w:rPr>
              <w:t>Methodological / quality-control measure</w:t>
            </w:r>
          </w:p>
        </w:tc>
      </w:tr>
      <w:tr w:rsidR="00015C2D" w14:paraId="4BB75D15" w14:textId="77777777">
        <w:tc>
          <w:tcPr>
            <w:tcW w:w="1575" w:type="dxa"/>
            <w:tcMar>
              <w:top w:w="90" w:type="dxa"/>
              <w:left w:w="110" w:type="dxa"/>
              <w:bottom w:w="90" w:type="dxa"/>
              <w:right w:w="110" w:type="dxa"/>
            </w:tcMar>
            <w:vAlign w:val="center"/>
          </w:tcPr>
          <w:p w14:paraId="358D1563" w14:textId="77777777" w:rsidR="00015C2D" w:rsidRDefault="00000000">
            <w:pPr>
              <w:spacing w:after="40" w:line="252" w:lineRule="auto"/>
            </w:pPr>
            <w:r>
              <w:rPr>
                <w:sz w:val="16"/>
              </w:rPr>
              <w:t>VR-SSVEP</w:t>
            </w:r>
          </w:p>
        </w:tc>
        <w:tc>
          <w:tcPr>
            <w:tcW w:w="2205" w:type="dxa"/>
            <w:tcMar>
              <w:top w:w="90" w:type="dxa"/>
              <w:left w:w="110" w:type="dxa"/>
              <w:bottom w:w="90" w:type="dxa"/>
              <w:right w:w="110" w:type="dxa"/>
            </w:tcMar>
            <w:vAlign w:val="center"/>
          </w:tcPr>
          <w:p w14:paraId="007A5767" w14:textId="77777777" w:rsidR="00015C2D" w:rsidRDefault="00000000">
            <w:pPr>
              <w:spacing w:after="40" w:line="252" w:lineRule="auto"/>
            </w:pPr>
            <w:r>
              <w:rPr>
                <w:sz w:val="16"/>
              </w:rPr>
              <w:t>Frequency-locked visual cortical response measured with EEG</w:t>
            </w:r>
          </w:p>
        </w:tc>
        <w:tc>
          <w:tcPr>
            <w:tcW w:w="4032" w:type="dxa"/>
            <w:tcMar>
              <w:top w:w="90" w:type="dxa"/>
              <w:left w:w="110" w:type="dxa"/>
              <w:bottom w:w="90" w:type="dxa"/>
              <w:right w:w="110" w:type="dxa"/>
            </w:tcMar>
            <w:vAlign w:val="center"/>
          </w:tcPr>
          <w:p w14:paraId="7077B520" w14:textId="77777777" w:rsidR="00015C2D" w:rsidRDefault="00000000">
            <w:pPr>
              <w:spacing w:after="40" w:line="252" w:lineRule="auto"/>
            </w:pPr>
            <w:r>
              <w:rPr>
                <w:sz w:val="16"/>
              </w:rPr>
              <w:t>VR feasibility is supported [12,13]; acute drug responsiveness is not established</w:t>
            </w:r>
          </w:p>
        </w:tc>
        <w:tc>
          <w:tcPr>
            <w:tcW w:w="2268" w:type="dxa"/>
            <w:tcMar>
              <w:top w:w="90" w:type="dxa"/>
              <w:left w:w="110" w:type="dxa"/>
              <w:bottom w:w="90" w:type="dxa"/>
              <w:right w:w="110" w:type="dxa"/>
            </w:tcMar>
            <w:vAlign w:val="center"/>
          </w:tcPr>
          <w:p w14:paraId="3B6C7AFF" w14:textId="77777777" w:rsidR="00015C2D" w:rsidRDefault="00000000">
            <w:pPr>
              <w:spacing w:after="40" w:line="252" w:lineRule="auto"/>
            </w:pPr>
            <w:r>
              <w:rPr>
                <w:sz w:val="16"/>
              </w:rPr>
              <w:t>Future separate EEG/VR project</w:t>
            </w:r>
          </w:p>
        </w:tc>
      </w:tr>
    </w:tbl>
    <w:p w14:paraId="547ABD4D" w14:textId="77777777" w:rsidR="00015C2D" w:rsidRDefault="00000000">
      <w:pPr>
        <w:pStyle w:val="BodyText"/>
      </w:pPr>
      <w:r>
        <w:t>The immediate implementation priority is therefore two core eye-tracking additions: a dedicated Anti-Saccade Test and a dedicated Fixation-Stability/BCEA Test. Pupil-derived measures remain secondary. Microsaccades remain scientifically interesting but are not selected as a primary XR-4 event-level biomarker under the current 200 Hz output.</w:t>
      </w:r>
    </w:p>
    <w:p w14:paraId="03BD288A" w14:textId="77777777" w:rsidR="00015C2D" w:rsidRDefault="00000000">
      <w:pPr>
        <w:pStyle w:val="Heading1"/>
      </w:pPr>
      <w:bookmarkStart w:id="33" w:name="Xf084a3aad2ba019113a3f84a3b857d0628c92ce"/>
      <w:bookmarkEnd w:id="32"/>
      <w:r>
        <w:t>9. Conclusion</w:t>
      </w:r>
    </w:p>
    <w:p w14:paraId="0AC8E963" w14:textId="77777777" w:rsidR="00015C2D" w:rsidRDefault="00000000">
      <w:r>
        <w:t>The report prioritizes pharmacodynamic and physiological relevance before evaluating hardware feasibility.</w:t>
      </w:r>
    </w:p>
    <w:p w14:paraId="58AE37BB" w14:textId="77777777" w:rsidR="00015C2D" w:rsidRDefault="00000000">
      <w:pPr>
        <w:pStyle w:val="BodyText"/>
      </w:pPr>
      <w:r>
        <w:t>Two core eye-tracking additions are proposed for near-term NeuroKit VR development. The first is a dedicated Anti-Saccade Test, because the ocular-motor review links anti-saccadic latency, accuracy, and error behavior with executive function, while the early CNS pharmacology review shows that executive-function tasks can be drug-responsive as a broader functional domain [1,9]. This is a rationale for validation, not proof of anti-saccade drug sensitivity. The second is a dedicated Fixation-Stability/BCEA Test, which has a clear quantitative measurement basis but still lacks direct pharmacodynamic validation in the cited evidence [5,6].</w:t>
      </w:r>
    </w:p>
    <w:p w14:paraId="2E9CE6B0" w14:textId="77777777" w:rsidR="00015C2D" w:rsidRDefault="00000000">
      <w:pPr>
        <w:pStyle w:val="BodyText"/>
      </w:pPr>
      <w:r>
        <w:t>For microsaccades, a 200 Hz gaze stream provides a nominal 5 ms interval, while Gu et al. report microsaccade durations of approximately 6-30 ms [4,10]. Together with evidence that sampling rate materially affects fast-eye-movement analysis [11] and the internal CHDR observation that nominal eye-tracker frame rate can be unstable [7], this report treats event-level microsaccade kinematics as unsuitable for a primary XR-4 biomarker without higher-rate reference validation. This is explicitly a project-level engineering decision, not a universal sampling-rate threshold claimed by the literature.</w:t>
      </w:r>
    </w:p>
    <w:p w14:paraId="544ABB0A" w14:textId="77777777" w:rsidR="00015C2D" w:rsidRDefault="00000000">
      <w:pPr>
        <w:pStyle w:val="BodyText"/>
      </w:pPr>
      <w:r>
        <w:lastRenderedPageBreak/>
        <w:t>The near-term research path is therefore to implement and technically validate the dedicated anti-saccade and fixation tasks, quantify XR-4 timing and spatial measurement performance, and then test whether the new metrics add repeatable and interpretable pharmacodynamic information beyond established NeuroCart outcomes.</w:t>
      </w:r>
    </w:p>
    <w:p w14:paraId="51F644F3" w14:textId="77777777" w:rsidR="00015C2D" w:rsidRDefault="00000000">
      <w:pPr>
        <w:pStyle w:val="Heading1"/>
      </w:pPr>
      <w:bookmarkStart w:id="34" w:name="X3b4c3db7819ed66f453f0c9b146c43e80460b49"/>
      <w:bookmarkEnd w:id="33"/>
      <w:r>
        <w:t>10. References</w:t>
      </w:r>
    </w:p>
    <w:p w14:paraId="6FC001B4" w14:textId="77777777" w:rsidR="00015C2D" w:rsidRDefault="00000000">
      <w:r>
        <w:t xml:space="preserve">[1] van Gerven J. Functional Measurements of Central Nervous System Drug Effects in Early Human Drug Development. In: </w:t>
      </w:r>
      <w:r>
        <w:rPr>
          <w:i/>
          <w:iCs/>
        </w:rPr>
        <w:t>Translational Medicine in CNS Drug Development</w:t>
      </w:r>
      <w:r>
        <w:t>. 2019;29:39-61. doi:10.1016/B978-0-12-803161-2.00004-7.</w:t>
      </w:r>
    </w:p>
    <w:p w14:paraId="340E5805" w14:textId="77777777" w:rsidR="00015C2D" w:rsidRPr="00AA1E66" w:rsidRDefault="00000000">
      <w:pPr>
        <w:pStyle w:val="BodyText"/>
        <w:rPr>
          <w:lang w:val="nl-NL"/>
        </w:rPr>
      </w:pPr>
      <w:r>
        <w:t xml:space="preserve">[2] Groeneveld GJ, Hay JL, Van Gerven JM. Measuring blood-brain barrier penetration using the NeuroCart, a CNS test battery. </w:t>
      </w:r>
      <w:r w:rsidRPr="00AA1E66">
        <w:rPr>
          <w:i/>
          <w:iCs/>
          <w:lang w:val="nl-NL"/>
        </w:rPr>
        <w:t xml:space="preserve">Drug Discovery </w:t>
      </w:r>
      <w:proofErr w:type="spellStart"/>
      <w:r w:rsidRPr="00AA1E66">
        <w:rPr>
          <w:i/>
          <w:iCs/>
          <w:lang w:val="nl-NL"/>
        </w:rPr>
        <w:t>Today</w:t>
      </w:r>
      <w:proofErr w:type="spellEnd"/>
      <w:r w:rsidRPr="00AA1E66">
        <w:rPr>
          <w:i/>
          <w:iCs/>
          <w:lang w:val="nl-NL"/>
        </w:rPr>
        <w:t>: Technologies</w:t>
      </w:r>
      <w:r w:rsidRPr="00AA1E66">
        <w:rPr>
          <w:lang w:val="nl-NL"/>
        </w:rPr>
        <w:t>. 2016;20:27-34. doi:10.1016/j.ddtec.2016.07.004.</w:t>
      </w:r>
    </w:p>
    <w:p w14:paraId="25537496" w14:textId="77777777" w:rsidR="00015C2D" w:rsidRDefault="00000000">
      <w:pPr>
        <w:pStyle w:val="BodyText"/>
      </w:pPr>
      <w:r w:rsidRPr="00AA1E66">
        <w:rPr>
          <w:lang w:val="nl-NL"/>
        </w:rPr>
        <w:t xml:space="preserve">[3] Kruizinga MD, Stuurman FE, Exadaktylos V, </w:t>
      </w:r>
      <w:proofErr w:type="spellStart"/>
      <w:r w:rsidRPr="00AA1E66">
        <w:rPr>
          <w:lang w:val="nl-NL"/>
        </w:rPr>
        <w:t>Doll</w:t>
      </w:r>
      <w:proofErr w:type="spellEnd"/>
      <w:r w:rsidRPr="00AA1E66">
        <w:rPr>
          <w:lang w:val="nl-NL"/>
        </w:rPr>
        <w:t xml:space="preserve"> RJ, Stephenson DT, Groeneveld GJ, Driessen GJA, Cohen AF. </w:t>
      </w:r>
      <w:r>
        <w:t xml:space="preserve">Development of Novel, Value-Based, Digital Endpoints for Clinical Trials: A Structured Approach Toward Fit-for-Purpose Validation. </w:t>
      </w:r>
      <w:r>
        <w:rPr>
          <w:i/>
          <w:iCs/>
        </w:rPr>
        <w:t>Pharmacological Reviews</w:t>
      </w:r>
      <w:r>
        <w:t>. 2020;72(4):899-909. doi:10.1124/pharmrev.120.000028.</w:t>
      </w:r>
    </w:p>
    <w:p w14:paraId="0DAC5DE3" w14:textId="77777777" w:rsidR="00015C2D" w:rsidRDefault="00000000">
      <w:pPr>
        <w:pStyle w:val="BodyText"/>
      </w:pPr>
      <w:r>
        <w:t xml:space="preserve">[4] Varjo. </w:t>
      </w:r>
      <w:r>
        <w:rPr>
          <w:i/>
          <w:iCs/>
        </w:rPr>
        <w:t>XR-4 Series Product Book</w:t>
      </w:r>
      <w:r>
        <w:t>. Publication date not stated.</w:t>
      </w:r>
    </w:p>
    <w:p w14:paraId="289A7434" w14:textId="77777777" w:rsidR="00015C2D" w:rsidRDefault="00000000">
      <w:pPr>
        <w:pStyle w:val="BodyText"/>
      </w:pPr>
      <w:r>
        <w:t xml:space="preserve">[5] Hunfalvay M, Murray NP, Carrick FR. Fixation stability as a biomarker for differentiating mild traumatic brain injury from age matched controls in pediatrics. </w:t>
      </w:r>
      <w:r>
        <w:rPr>
          <w:i/>
          <w:iCs/>
        </w:rPr>
        <w:t>Brain Injury</w:t>
      </w:r>
      <w:r>
        <w:t>. 2021;35(2):209-214. doi:10.1080/02699052.2020.1865566.</w:t>
      </w:r>
    </w:p>
    <w:p w14:paraId="4868C535" w14:textId="77777777" w:rsidR="00015C2D" w:rsidRDefault="00000000">
      <w:pPr>
        <w:pStyle w:val="BodyText"/>
      </w:pPr>
      <w:r>
        <w:t xml:space="preserve">[6] Schönbach EM, Ibrahim MA, Kong X, Strauss RW, Muñoz B, Birch DG, Sunness JS, West SK, Scholl HPN. Metrics and Acquisition Modes for Fixation Stability as a Visual Function Biomarker. </w:t>
      </w:r>
      <w:r>
        <w:rPr>
          <w:i/>
          <w:iCs/>
        </w:rPr>
        <w:t>Investigative Ophthalmology &amp; Visual Science</w:t>
      </w:r>
      <w:r>
        <w:t>. 2017;58(6):BIO268-BIO276. doi:10.1167/iovs.17-21710.</w:t>
      </w:r>
    </w:p>
    <w:p w14:paraId="766265AE" w14:textId="77777777" w:rsidR="00015C2D" w:rsidRDefault="00000000">
      <w:pPr>
        <w:pStyle w:val="BodyText"/>
      </w:pPr>
      <w:r>
        <w:t xml:space="preserve">[7] Faloppa A. </w:t>
      </w:r>
      <w:r>
        <w:rPr>
          <w:i/>
          <w:iCs/>
        </w:rPr>
        <w:t>Methods Report CHDR2513: Pupillometry Data Analysis</w:t>
      </w:r>
      <w:r>
        <w:t>. Centre for Human Drug Research. 30 September 2025.</w:t>
      </w:r>
    </w:p>
    <w:p w14:paraId="37E3C5D6" w14:textId="77777777" w:rsidR="00015C2D" w:rsidRDefault="00000000">
      <w:pPr>
        <w:pStyle w:val="BodyText"/>
      </w:pPr>
      <w:r>
        <w:t xml:space="preserve">[8] Salari M, Niehorster DC, Nyström M, Bednarik R. The effect of pupil size on data quality in head-mounted eye trackers. </w:t>
      </w:r>
      <w:r>
        <w:rPr>
          <w:i/>
          <w:iCs/>
        </w:rPr>
        <w:t>Behavior Research Methods</w:t>
      </w:r>
      <w:r>
        <w:t>. 2025;58:17. doi:10.3758/s13428-025-02880-3.</w:t>
      </w:r>
    </w:p>
    <w:p w14:paraId="382985E0" w14:textId="77777777" w:rsidR="00015C2D" w:rsidRDefault="00000000">
      <w:pPr>
        <w:pStyle w:val="BodyText"/>
      </w:pPr>
      <w:r>
        <w:t xml:space="preserve">[9] Coito A, Brügger D, Brémovà-Ertl T, Massatsch P, Abegg M, Weber KP, Salmen A. Advances in ocular motor and pupil biomarkers for neurological disorders. </w:t>
      </w:r>
      <w:r>
        <w:rPr>
          <w:i/>
          <w:iCs/>
        </w:rPr>
        <w:t>Brain Communications</w:t>
      </w:r>
      <w:r>
        <w:t>. 2026;8(2):fcag102. doi:10.1093/braincomms/fcag102.</w:t>
      </w:r>
    </w:p>
    <w:p w14:paraId="2C01A1C4" w14:textId="77777777" w:rsidR="00015C2D" w:rsidRDefault="00000000">
      <w:pPr>
        <w:pStyle w:val="BodyText"/>
      </w:pPr>
      <w:r>
        <w:t xml:space="preserve">[10] Gu Q, Zhang Q, Han Y, Li P, Gao Z, Shen M. Microsaccades reflect attention shifts: a mini review of 20 years of microsaccade research. </w:t>
      </w:r>
      <w:r>
        <w:rPr>
          <w:i/>
          <w:iCs/>
        </w:rPr>
        <w:t>Frontiers in Psychology</w:t>
      </w:r>
      <w:r>
        <w:t>. 2024;15:1364939. doi:10.3389/fpsyg.2024.1364939.</w:t>
      </w:r>
    </w:p>
    <w:p w14:paraId="55A7A94E" w14:textId="77777777" w:rsidR="00015C2D" w:rsidRDefault="00000000">
      <w:pPr>
        <w:pStyle w:val="BodyText"/>
      </w:pPr>
      <w:r>
        <w:t xml:space="preserve">[11] Leube A, Rifai K, Wahl S. Sampling rate influences saccade detection in mobile eye tracking of a reading task. </w:t>
      </w:r>
      <w:r>
        <w:rPr>
          <w:i/>
          <w:iCs/>
        </w:rPr>
        <w:t>Journal of Eye Movement Research</w:t>
      </w:r>
      <w:r>
        <w:t>. 2017;10(3):3. doi:10.16910/jemr.10.3.3.</w:t>
      </w:r>
    </w:p>
    <w:p w14:paraId="1C16EBA8" w14:textId="77777777" w:rsidR="00015C2D" w:rsidRDefault="00000000">
      <w:pPr>
        <w:pStyle w:val="BodyText"/>
      </w:pPr>
      <w:r>
        <w:t xml:space="preserve">[12] Si-Mohammed H, Holz C, Wilson AD, Gamper H, Lee AKC, Emmanouilidou D, Cutrell E, Tashev I. On the Effect of Size and Contrast of the SSVEP Visual Stimuations on Classification Accuracy and User-Friendliness in Virtual Reality. </w:t>
      </w:r>
      <w:r>
        <w:rPr>
          <w:i/>
          <w:iCs/>
        </w:rPr>
        <w:t>2023 11th International Winter Conference on Brain-Computer Interface (BCI)</w:t>
      </w:r>
      <w:r>
        <w:t>. February 2023; Gangwon, South Korea. doi:10.1109/BCI57258.2023.10078459.</w:t>
      </w:r>
    </w:p>
    <w:p w14:paraId="365B4919" w14:textId="77777777" w:rsidR="00015C2D" w:rsidRDefault="00000000">
      <w:pPr>
        <w:pStyle w:val="BodyText"/>
      </w:pPr>
      <w:r>
        <w:t xml:space="preserve">[13] Kim J, Kim T, Lee J. VR-SSVEPeripheral: Designing Virtual Reality Friendly SSVEP Stimuli using Peripheral Vision Area for Immersive and Comfortable Experience. In: </w:t>
      </w:r>
      <w:r>
        <w:rPr>
          <w:i/>
          <w:iCs/>
        </w:rPr>
        <w:t>Extended Abstracts of the CHI Conference on Human Factors in Computing Systems (CHI EA '24)</w:t>
      </w:r>
      <w:r>
        <w:t>. ACM; 2024. 7 pages. doi:10.1145/3613905.3651084.</w:t>
      </w:r>
    </w:p>
    <w:p w14:paraId="67101F58" w14:textId="77777777" w:rsidR="00015C2D" w:rsidRDefault="00000000">
      <w:pPr>
        <w:pStyle w:val="BodyText"/>
      </w:pPr>
      <w:r>
        <w:t xml:space="preserve">[14] Larsen OFP, Tresselt WG, Lorenz EA, Holt T, Sandstrak G, Hansen TI, Su X, Holt A. A method for synchronized use of EEG and eye tracking in fully immersive VR. </w:t>
      </w:r>
      <w:r>
        <w:rPr>
          <w:i/>
          <w:iCs/>
        </w:rPr>
        <w:t>Frontiers in Human Neuroscience</w:t>
      </w:r>
      <w:r>
        <w:t>. 2024;18:1347974. doi:10.3389/fnhum.2024.1347974.</w:t>
      </w:r>
      <w:bookmarkEnd w:id="34"/>
    </w:p>
    <w:sectPr w:rsidR="00015C2D" w:rsidSect="00034616">
      <w:headerReference w:type="default" r:id="rId7"/>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4780B8" w14:textId="77777777" w:rsidR="0085575B" w:rsidRDefault="0085575B">
      <w:pPr>
        <w:spacing w:after="0" w:line="240" w:lineRule="auto"/>
      </w:pPr>
      <w:r>
        <w:separator/>
      </w:r>
    </w:p>
  </w:endnote>
  <w:endnote w:type="continuationSeparator" w:id="0">
    <w:p w14:paraId="4DA72590" w14:textId="77777777" w:rsidR="0085575B" w:rsidRDefault="008557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CB1FB" w14:textId="77777777" w:rsidR="00000000" w:rsidRDefault="00000000">
    <w:pPr>
      <w:pStyle w:val="Footer"/>
      <w:jc w:val="center"/>
    </w:pPr>
    <w:r>
      <w:rPr>
        <w:color w:val="646464"/>
        <w:sz w:val="16"/>
      </w:rPr>
      <w:t xml:space="preserve">Page </w:t>
    </w:r>
    <w:r>
      <w:rPr>
        <w:color w:val="646464"/>
        <w:sz w:val="16"/>
      </w:rPr>
      <w:fldChar w:fldCharType="begin"/>
    </w:r>
    <w:r>
      <w:rPr>
        <w:color w:val="646464"/>
        <w:sz w:val="16"/>
      </w:rPr>
      <w:instrText>PAGE</w:instrText>
    </w:r>
    <w:r>
      <w:rPr>
        <w:color w:val="646464"/>
        <w:sz w:val="16"/>
      </w:rPr>
      <w:fldChar w:fldCharType="separate"/>
    </w:r>
    <w:r>
      <w:rPr>
        <w:noProof/>
        <w:color w:val="646464"/>
        <w:sz w:val="16"/>
      </w:rPr>
      <w:t>1</w:t>
    </w:r>
    <w:r>
      <w:rPr>
        <w:color w:val="646464"/>
        <w:sz w:val="16"/>
      </w:rPr>
      <w:fldChar w:fldCharType="end"/>
    </w:r>
    <w:r>
      <w:rPr>
        <w:color w:val="646464"/>
        <w:sz w:val="16"/>
      </w:rPr>
      <w:t xml:space="preserve"> of </w:t>
    </w:r>
    <w:r>
      <w:rPr>
        <w:color w:val="646464"/>
        <w:sz w:val="16"/>
      </w:rPr>
      <w:fldChar w:fldCharType="begin"/>
    </w:r>
    <w:r>
      <w:rPr>
        <w:color w:val="646464"/>
        <w:sz w:val="16"/>
      </w:rPr>
      <w:instrText>NUMPAGES</w:instrText>
    </w:r>
    <w:r>
      <w:rPr>
        <w:color w:val="646464"/>
        <w:sz w:val="16"/>
      </w:rPr>
      <w:fldChar w:fldCharType="separate"/>
    </w:r>
    <w:r>
      <w:rPr>
        <w:noProof/>
        <w:color w:val="646464"/>
        <w:sz w:val="16"/>
      </w:rPr>
      <w:t>2</w:t>
    </w:r>
    <w:r>
      <w:rPr>
        <w:color w:val="646464"/>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A97F6B" w14:textId="77777777" w:rsidR="0085575B" w:rsidRDefault="0085575B">
      <w:r>
        <w:separator/>
      </w:r>
    </w:p>
  </w:footnote>
  <w:footnote w:type="continuationSeparator" w:id="0">
    <w:p w14:paraId="196536B0" w14:textId="77777777" w:rsidR="0085575B" w:rsidRDefault="008557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62FC0" w14:textId="77777777" w:rsidR="00000000" w:rsidRDefault="00000000">
    <w:pPr>
      <w:pStyle w:val="Header"/>
      <w:jc w:val="right"/>
    </w:pPr>
    <w:proofErr w:type="spellStart"/>
    <w:r>
      <w:rPr>
        <w:color w:val="646464"/>
        <w:sz w:val="16"/>
      </w:rPr>
      <w:t>NeuroKit</w:t>
    </w:r>
    <w:proofErr w:type="spellEnd"/>
    <w:r>
      <w:rPr>
        <w:color w:val="646464"/>
        <w:sz w:val="16"/>
      </w:rPr>
      <w:t xml:space="preserve"> VR Eye-Tracking Biomarkers | PhD Start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19DC795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640068510">
    <w:abstractNumId w:val="8"/>
  </w:num>
  <w:num w:numId="2" w16cid:durableId="1927302671">
    <w:abstractNumId w:val="6"/>
  </w:num>
  <w:num w:numId="3" w16cid:durableId="1581598561">
    <w:abstractNumId w:val="5"/>
  </w:num>
  <w:num w:numId="4" w16cid:durableId="1889686962">
    <w:abstractNumId w:val="4"/>
  </w:num>
  <w:num w:numId="5" w16cid:durableId="1084035792">
    <w:abstractNumId w:val="7"/>
  </w:num>
  <w:num w:numId="6" w16cid:durableId="47000459">
    <w:abstractNumId w:val="3"/>
  </w:num>
  <w:num w:numId="7" w16cid:durableId="599290711">
    <w:abstractNumId w:val="2"/>
  </w:num>
  <w:num w:numId="8" w16cid:durableId="615525808">
    <w:abstractNumId w:val="1"/>
  </w:num>
  <w:num w:numId="9" w16cid:durableId="1164080564">
    <w:abstractNumId w:val="0"/>
  </w:num>
  <w:num w:numId="10" w16cid:durableId="13804766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C2D"/>
    <w:rsid w:val="00015C2D"/>
    <w:rsid w:val="000F16DB"/>
    <w:rsid w:val="000F6F29"/>
    <w:rsid w:val="00112900"/>
    <w:rsid w:val="005005FC"/>
    <w:rsid w:val="006229A0"/>
    <w:rsid w:val="00760CC1"/>
    <w:rsid w:val="0083517E"/>
    <w:rsid w:val="0085575B"/>
    <w:rsid w:val="008F74A3"/>
    <w:rsid w:val="00925801"/>
    <w:rsid w:val="009666D1"/>
    <w:rsid w:val="00AA1E66"/>
    <w:rsid w:val="00D0109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197F4"/>
  <w15:docId w15:val="{F59F592D-3ABD-458C-A815-BF91EC76D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1831E8"/>
    <w:pPr>
      <w:spacing w:after="0" w:line="240" w:lineRule="auto"/>
    </w:pPr>
    <w:rPr>
      <w:rFonts w:ascii="Arial" w:eastAsia="Arial" w:hAnsi="Arial"/>
      <w:sz w:val="20"/>
    </w:rPr>
  </w:style>
  <w:style w:type="character" w:styleId="CommentReference">
    <w:name w:val="annotation reference"/>
    <w:basedOn w:val="DefaultParagraphFont"/>
    <w:uiPriority w:val="99"/>
    <w:semiHidden/>
    <w:unhideWhenUsed/>
    <w:rsid w:val="00D21A13"/>
    <w:rPr>
      <w:sz w:val="16"/>
      <w:szCs w:val="16"/>
    </w:rPr>
  </w:style>
  <w:style w:type="paragraph" w:styleId="CommentText">
    <w:name w:val="annotation text"/>
    <w:basedOn w:val="Normal"/>
    <w:link w:val="CommentTextChar"/>
    <w:uiPriority w:val="99"/>
    <w:semiHidden/>
    <w:unhideWhenUsed/>
    <w:rsid w:val="00D21A13"/>
    <w:pPr>
      <w:spacing w:line="240" w:lineRule="auto"/>
    </w:pPr>
    <w:rPr>
      <w:szCs w:val="20"/>
    </w:rPr>
  </w:style>
  <w:style w:type="character" w:customStyle="1" w:styleId="CommentTextChar">
    <w:name w:val="Comment Text Char"/>
    <w:basedOn w:val="DefaultParagraphFont"/>
    <w:link w:val="CommentText"/>
    <w:uiPriority w:val="99"/>
    <w:semiHidden/>
    <w:rsid w:val="00D21A13"/>
    <w:rPr>
      <w:rFonts w:ascii="Arial" w:eastAsia="Arial" w:hAnsi="Arial"/>
      <w:sz w:val="20"/>
      <w:szCs w:val="20"/>
    </w:rPr>
  </w:style>
  <w:style w:type="paragraph" w:styleId="CommentSubject">
    <w:name w:val="annotation subject"/>
    <w:basedOn w:val="CommentText"/>
    <w:next w:val="CommentText"/>
    <w:link w:val="CommentSubjectChar"/>
    <w:uiPriority w:val="99"/>
    <w:semiHidden/>
    <w:unhideWhenUsed/>
    <w:rsid w:val="00D21A13"/>
    <w:rPr>
      <w:b/>
      <w:bCs/>
    </w:rPr>
  </w:style>
  <w:style w:type="character" w:customStyle="1" w:styleId="CommentSubjectChar">
    <w:name w:val="Comment Subject Char"/>
    <w:basedOn w:val="CommentTextChar"/>
    <w:link w:val="CommentSubject"/>
    <w:uiPriority w:val="99"/>
    <w:semiHidden/>
    <w:rsid w:val="00D21A13"/>
    <w:rPr>
      <w:rFonts w:ascii="Arial" w:eastAsia="Arial" w:hAnsi="Arial"/>
      <w:b/>
      <w:bCs/>
      <w:sz w:val="20"/>
      <w:szCs w:val="20"/>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character" w:customStyle="1" w:styleId="KeywordTok0">
    <w:name w:val="KeywordTok"/>
    <w:rPr>
      <w:b/>
      <w:color w:val="007020"/>
    </w:rPr>
  </w:style>
  <w:style w:type="character" w:customStyle="1" w:styleId="DataTypeTok0">
    <w:name w:val="DataTypeTok"/>
    <w:rPr>
      <w:color w:val="902000"/>
    </w:rPr>
  </w:style>
  <w:style w:type="character" w:customStyle="1" w:styleId="DecValTok0">
    <w:name w:val="DecValTok"/>
    <w:rPr>
      <w:color w:val="40A070"/>
    </w:rPr>
  </w:style>
  <w:style w:type="character" w:customStyle="1" w:styleId="BaseNTok0">
    <w:name w:val="BaseNTok"/>
    <w:rPr>
      <w:color w:val="40A070"/>
    </w:rPr>
  </w:style>
  <w:style w:type="character" w:customStyle="1" w:styleId="FloatTok0">
    <w:name w:val="FloatTok"/>
    <w:rPr>
      <w:color w:val="40A070"/>
    </w:rPr>
  </w:style>
  <w:style w:type="character" w:customStyle="1" w:styleId="ConstantTok0">
    <w:name w:val="ConstantTok"/>
    <w:rPr>
      <w:color w:val="880000"/>
    </w:rPr>
  </w:style>
  <w:style w:type="character" w:customStyle="1" w:styleId="CharTok0">
    <w:name w:val="CharTok"/>
    <w:rPr>
      <w:color w:val="4070A0"/>
    </w:rPr>
  </w:style>
  <w:style w:type="character" w:customStyle="1" w:styleId="SpecialCharTok0">
    <w:name w:val="SpecialCharTok"/>
    <w:rPr>
      <w:color w:val="4070A0"/>
    </w:rPr>
  </w:style>
  <w:style w:type="character" w:customStyle="1" w:styleId="StringTok0">
    <w:name w:val="StringTok"/>
    <w:rPr>
      <w:color w:val="4070A0"/>
    </w:rPr>
  </w:style>
  <w:style w:type="character" w:customStyle="1" w:styleId="VerbatimStringTok0">
    <w:name w:val="VerbatimStringTok"/>
    <w:rPr>
      <w:color w:val="4070A0"/>
    </w:rPr>
  </w:style>
  <w:style w:type="character" w:customStyle="1" w:styleId="SpecialStringTok0">
    <w:name w:val="SpecialStringTok"/>
    <w:rPr>
      <w:color w:val="BB6688"/>
    </w:rPr>
  </w:style>
  <w:style w:type="character" w:customStyle="1" w:styleId="ImportTok0">
    <w:name w:val="ImportTok"/>
    <w:rPr>
      <w:b/>
      <w:color w:val="008000"/>
    </w:rPr>
  </w:style>
  <w:style w:type="character" w:customStyle="1" w:styleId="CommentTok0">
    <w:name w:val="CommentTok"/>
    <w:rPr>
      <w:i/>
      <w:color w:val="60A0B0"/>
    </w:rPr>
  </w:style>
  <w:style w:type="character" w:customStyle="1" w:styleId="DocumentationTok0">
    <w:name w:val="DocumentationTok"/>
    <w:rPr>
      <w:i/>
      <w:color w:val="BA2121"/>
    </w:rPr>
  </w:style>
  <w:style w:type="character" w:customStyle="1" w:styleId="AnnotationTok0">
    <w:name w:val="AnnotationTok"/>
    <w:rPr>
      <w:b/>
      <w:i/>
      <w:color w:val="60A0B0"/>
    </w:rPr>
  </w:style>
  <w:style w:type="character" w:customStyle="1" w:styleId="CommentVarTok0">
    <w:name w:val="CommentVarTok"/>
    <w:rPr>
      <w:b/>
      <w:i/>
      <w:color w:val="60A0B0"/>
    </w:rPr>
  </w:style>
  <w:style w:type="character" w:customStyle="1" w:styleId="OtherTok0">
    <w:name w:val="OtherTok"/>
    <w:rPr>
      <w:color w:val="007020"/>
    </w:rPr>
  </w:style>
  <w:style w:type="character" w:customStyle="1" w:styleId="FunctionTok0">
    <w:name w:val="FunctionTok"/>
    <w:rPr>
      <w:color w:val="06287E"/>
    </w:rPr>
  </w:style>
  <w:style w:type="character" w:customStyle="1" w:styleId="VariableTok0">
    <w:name w:val="VariableTok"/>
    <w:rPr>
      <w:color w:val="19177C"/>
    </w:rPr>
  </w:style>
  <w:style w:type="character" w:customStyle="1" w:styleId="ControlFlowTok0">
    <w:name w:val="ControlFlowTok"/>
    <w:rPr>
      <w:b/>
      <w:color w:val="007020"/>
    </w:rPr>
  </w:style>
  <w:style w:type="character" w:customStyle="1" w:styleId="OperatorTok0">
    <w:name w:val="OperatorTok"/>
    <w:rPr>
      <w:color w:val="666666"/>
    </w:rPr>
  </w:style>
  <w:style w:type="character" w:customStyle="1" w:styleId="BuiltInTok0">
    <w:name w:val="BuiltInTok"/>
    <w:rPr>
      <w:color w:val="008000"/>
    </w:rPr>
  </w:style>
  <w:style w:type="character" w:customStyle="1" w:styleId="ExtensionTok0">
    <w:name w:val="ExtensionTok"/>
  </w:style>
  <w:style w:type="character" w:customStyle="1" w:styleId="PreprocessorTok0">
    <w:name w:val="PreprocessorTok"/>
    <w:rPr>
      <w:color w:val="BC7A00"/>
    </w:rPr>
  </w:style>
  <w:style w:type="character" w:customStyle="1" w:styleId="AttributeTok0">
    <w:name w:val="AttributeTok"/>
    <w:rPr>
      <w:color w:val="7D9029"/>
    </w:rPr>
  </w:style>
  <w:style w:type="character" w:customStyle="1" w:styleId="RegionMarkerTok0">
    <w:name w:val="RegionMarkerTok"/>
  </w:style>
  <w:style w:type="character" w:customStyle="1" w:styleId="InformationTok0">
    <w:name w:val="InformationTok"/>
    <w:rPr>
      <w:b/>
      <w:i/>
      <w:color w:val="60A0B0"/>
    </w:rPr>
  </w:style>
  <w:style w:type="character" w:customStyle="1" w:styleId="WarningTok0">
    <w:name w:val="WarningTok"/>
    <w:rPr>
      <w:b/>
      <w:i/>
      <w:color w:val="60A0B0"/>
    </w:rPr>
  </w:style>
  <w:style w:type="character" w:customStyle="1" w:styleId="AlertTok0">
    <w:name w:val="AlertTok"/>
    <w:rPr>
      <w:b/>
      <w:color w:val="FF0000"/>
    </w:rPr>
  </w:style>
  <w:style w:type="character" w:customStyle="1" w:styleId="ErrorTok0">
    <w:name w:val="ErrorTok"/>
    <w:rPr>
      <w:b/>
      <w:color w:val="FF0000"/>
    </w:rPr>
  </w:style>
  <w:style w:type="character" w:customStyle="1" w:styleId="NormalTok0">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164</TotalTime>
  <Pages>8</Pages>
  <Words>4321</Words>
  <Characters>24630</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28894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Comprehensive Evaluation and Expansion of Eye-Tracking Biomarkers for the NeuroKit VR Platform</dc:title>
  <dc:subject>PhD start report on candidate eye-tracking biomarkers for NeuroKit VR</dc:subject>
  <dc:creator/>
  <cp:keywords/>
  <cp:lastModifiedBy>Sam Jaferpour</cp:lastModifiedBy>
  <cp:revision>12</cp:revision>
  <dcterms:created xsi:type="dcterms:W3CDTF">2026-08-05T11:32:00Z</dcterms:created>
  <dcterms:modified xsi:type="dcterms:W3CDTF">2026-08-10T16:18:00Z</dcterms:modified>
</cp:coreProperties>
</file>