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回測中心 100% 最大回撤</w:t>
        <w:br/>
        <w:t>最終法證分析與全策略優化報告</w:t>
      </w:r>
    </w:p>
    <w:p>
      <w:pPr>
        <w:pStyle w:val="Subtitle"/>
        <w:jc w:val="center"/>
      </w:pPr>
      <w:r>
        <w:t>KAMA_RAINBOW_MARTIN_V1｜BTC-USDT｜30m｜SINGLE_EXCLUSIVE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12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事故 job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job_1785770356467_b7fe7008</w:t>
            </w:r>
          </w:p>
        </w:tc>
      </w:tr>
      <w:tr>
        <w:tc>
          <w:tcPr>
            <w:tcW w:type="dxa" w:w="22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回測 run</w:t>
            </w:r>
          </w:p>
        </w:tc>
        <w:tc>
          <w:tcPr>
            <w:tcW w:type="dxa" w:w="71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bt_KAMARAINBOWMARTINV1_1785770363974_tx4</w:t>
            </w:r>
          </w:p>
        </w:tc>
      </w:tr>
      <w:t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資料期間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2025-01-01 至 2026-08-01</w:t>
            </w:r>
          </w:p>
        </w:tc>
      </w:tr>
      <w:tr>
        <w:tc>
          <w:tcPr>
            <w:tcW w:type="dxa" w:w="22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報告日期</w:t>
            </w:r>
          </w:p>
        </w:tc>
        <w:tc>
          <w:tcPr>
            <w:tcW w:type="dxa" w:w="71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2026-08-04</w:t>
            </w:r>
          </w:p>
        </w:tc>
      </w:tr>
      <w:t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證據狀態</w:t>
            </w:r>
          </w:p>
        </w:tc>
        <w:tc>
          <w:tcPr>
            <w:tcW w:type="dxa" w:w="71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原始交易檔、持久化 job、equityCurve、程式碼與測試均已交叉驗證</w:t>
            </w:r>
          </w:p>
        </w:tc>
      </w:tr>
    </w:tbl>
    <w:p/>
    <w:p>
      <w:pPr>
        <w:jc w:val="center"/>
      </w:pPr>
      <w:r>
        <w:rPr>
          <w:b/>
          <w:color w:val="C00000"/>
        </w:rPr>
        <w:t>機密技術報告｜不得把本報告中的失效回測 KPI 用作實盤決策依據</w:t>
      </w:r>
    </w:p>
    <w:p>
      <w:r>
        <w:br w:type="page"/>
      </w:r>
    </w:p>
    <w:p>
      <w:pPr>
        <w:pStyle w:val="Heading1"/>
      </w:pPr>
      <w:r>
        <w:t>目錄</w:t>
      </w:r>
    </w:p>
    <w:p>
      <w:r>
        <w:fldChar w:fldCharType="begin"/>
        <w:instrText xml:space="preserve">TOC \o "1-3" \h \z \u</w:instrText>
        <w:fldChar w:fldCharType="separate"/>
        <w:t>開啟 Word 後更新欄位以顯示目錄</w:t>
        <w:fldChar w:fldCharType="end"/>
      </w:r>
    </w:p>
    <w:p>
      <w:r>
        <w:br w:type="page"/>
      </w:r>
    </w:p>
    <w:p>
      <w:pPr>
        <w:pStyle w:val="Heading1"/>
      </w:pPr>
      <w:r>
        <w:t>執行摘要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val="clear" w:fill="FCE4D6"/>
          </w:tcPr>
          <w:p>
            <w:r>
              <w:rPr>
                <w:b/>
                <w:color w:val="800000"/>
              </w:rPr>
              <w:t>最終判定</w:t>
            </w:r>
            <w:r>
              <w:br/>
              <w:t>畫面顯示的 100% 最大回撤不是百分比公式或 UI 欄位錯綁；在原 runner 產生的逐 K mark-to-market 權益路徑中，帳戶確實穿越 0。真正的系統錯誤，是該 S1 runner 宣告已套用曝險、保證金與清算政策，實際卻未在訂單准入與逐 K 估值中執行，並在破產後繼續持倉，最終把不可生存路徑包裝為 completed 高獲利回測。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4824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法證結論</w:t>
            </w:r>
          </w:p>
        </w:tc>
        <w:tc>
          <w:tcPr>
            <w:tcW w:type="dxa" w:w="244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處置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100% 最大回撤是否算錯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否。權益曾由正峰值跌至負值；有限責任口徑下回撤封頂 100% 正確。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保留公式，不得把 100% 人工改小。</w:t>
            </w:r>
          </w:p>
        </w:tc>
      </w:tr>
      <w:tr>
        <w:tc>
          <w:tcPr>
            <w:tcW w:type="dxa" w:w="208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結果是否仍可視為有效策略績效</w:t>
            </w:r>
          </w:p>
        </w:tc>
        <w:tc>
          <w:tcPr>
            <w:tcW w:type="dxa" w:w="482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否。破產後恢復、未宣告 bankrupt、零次清算及政策超限同時存在。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結果必須 fail closed，不顯示為可信 KPI。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testing2.xlsx 為何看不到 100% 回撤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該檔只有 91 筆平倉交易，沒有逐 K 未實現損益；已實現權益最大回撤僅 1.82 USDT。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交易表與 equityCurve 必須分開標示與匯出。</w:t>
            </w:r>
          </w:p>
        </w:tc>
      </w:tr>
      <w:tr>
        <w:tc>
          <w:tcPr>
            <w:tcW w:type="dxa" w:w="208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上一輪費用修正是否正確</w:t>
            </w:r>
          </w:p>
        </w:tc>
        <w:tc>
          <w:tcPr>
            <w:tcW w:type="dxa" w:w="482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否。open position 應扣已發生的入場費，而不是尚未發生的出場費；已恢復 canonical 口徑。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保留專門回歸測試，禁止再次改壞。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本次是否只修 KRM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否。發布邊界守門與 risk-aware 降採樣接在所有九個內建 runner 共用 finalizer／三個採樣入口。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九策略 source contract 與完整測試套件已通過。</w:t>
            </w:r>
          </w:p>
        </w:tc>
      </w:tr>
    </w:tbl>
    <w:p/>
    <w:p>
      <w:pPr>
        <w:spacing w:after="120" w:line="276" w:lineRule="auto"/>
      </w:pPr>
      <w:r>
        <w:t>最重要的產品語義是：本次優化不會把一條已破產路徑「美化」成較小回撤。當同類路徑再次發生時，系統應以專用風險完整性錯誤拒絕發布，而不是回傳 100% 回撤但仍標成成功。若要取得真正可交易的修正後 KPI，下一階段必須把 legacy S1 runner 遷移到逐單准入與逐 K 清算的 runtime risk kernel 後重新回測。</w:t>
      </w:r>
    </w:p>
    <w:p>
      <w:pPr>
        <w:pStyle w:val="Heading1"/>
      </w:pPr>
      <w:r>
        <w:t>一、分析範圍與證據方法</w:t>
      </w:r>
    </w:p>
    <w:p>
      <w:pPr>
        <w:spacing w:after="120" w:line="276" w:lineRule="auto"/>
      </w:pPr>
      <w:r>
        <w:t>本報告採用四層對帳：交易檔、持久化回測 job、逐 K 權益路徑與程式執行鏈。任何結論至少由兩個獨立來源支持；無法從平倉交易表推導的風險事件，不以推測填補。</w:t>
      </w:r>
    </w:p>
    <w:p>
      <w:pPr>
        <w:pStyle w:val="Heading2"/>
      </w:pPr>
      <w:r>
        <w:t>1.1 主要證據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4464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664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完整性</w:t>
            </w:r>
          </w:p>
        </w:tc>
      </w:tr>
      <w:t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testing2.xlsx</w:t>
            </w:r>
          </w:p>
        </w:tc>
        <w:tc>
          <w:tcPr>
            <w:tcW w:type="dxa" w:w="446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91 筆平倉交易、PnL、數量、馬丁層與名義本金</w:t>
            </w:r>
          </w:p>
        </w:tc>
        <w:tc>
          <w:tcPr>
            <w:tcW w:type="dxa" w:w="266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SHA-256 fec9203b1185bc14…</w:t>
            </w:r>
          </w:p>
        </w:tc>
      </w:tr>
      <w:tr>
        <w:tc>
          <w:tcPr>
            <w:tcW w:type="dxa" w:w="22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持久化 job JSON</w:t>
            </w:r>
          </w:p>
        </w:tc>
        <w:tc>
          <w:tcPr>
            <w:tcW w:type="dxa" w:w="446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原始 metrics、accounting、executionPolicy、資料品質</w:t>
            </w:r>
          </w:p>
        </w:tc>
        <w:tc>
          <w:tcPr>
            <w:tcW w:type="dxa" w:w="266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job_1785770356467_b7fe7008</w:t>
            </w:r>
          </w:p>
        </w:tc>
      </w:tr>
      <w:t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持久化 equityCurve</w:t>
            </w:r>
          </w:p>
        </w:tc>
        <w:tc>
          <w:tcPr>
            <w:tcW w:type="dxa" w:w="446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查明首次非正權益、最低權益、恢復路徑</w:t>
            </w:r>
          </w:p>
        </w:tc>
        <w:tc>
          <w:tcPr>
            <w:tcW w:type="dxa" w:w="266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2,001 點舊版報告曲線</w:t>
            </w:r>
          </w:p>
        </w:tc>
      </w:tr>
      <w:tr>
        <w:tc>
          <w:tcPr>
            <w:tcW w:type="dxa" w:w="22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原始 runner／finalizer 程式碼</w:t>
            </w:r>
          </w:p>
        </w:tc>
        <w:tc>
          <w:tcPr>
            <w:tcW w:type="dxa" w:w="446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確認風控是執行邏輯或只有 metadata</w:t>
            </w:r>
          </w:p>
        </w:tc>
        <w:tc>
          <w:tcPr>
            <w:tcW w:type="dxa" w:w="266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逐函式稽核</w:t>
            </w:r>
          </w:p>
        </w:tc>
      </w:tr>
      <w:t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獨立重算與真實資料重播</w:t>
            </w:r>
          </w:p>
        </w:tc>
        <w:tc>
          <w:tcPr>
            <w:tcW w:type="dxa" w:w="446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排除 UI、Excel 與單一公式誤差</w:t>
            </w:r>
          </w:p>
        </w:tc>
        <w:tc>
          <w:tcPr>
            <w:tcW w:type="dxa" w:w="266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不寫入交易／不觸發實盤 mutation</w:t>
            </w:r>
          </w:p>
        </w:tc>
      </w:tr>
      <w:tr>
        <w:tc>
          <w:tcPr>
            <w:tcW w:type="dxa" w:w="22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Vitest、TypeScript、production build</w:t>
            </w:r>
          </w:p>
        </w:tc>
        <w:tc>
          <w:tcPr>
            <w:tcW w:type="dxa" w:w="446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驗證修正未破壞既有契約</w:t>
            </w:r>
          </w:p>
        </w:tc>
        <w:tc>
          <w:tcPr>
            <w:tcW w:type="dxa" w:w="266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最終完整回歸</w:t>
            </w:r>
          </w:p>
        </w:tc>
      </w:tr>
    </w:tbl>
    <w:p/>
    <w:p>
      <w:pPr>
        <w:pStyle w:val="Heading2"/>
      </w:pPr>
      <w:r>
        <w:t>1.2 口徑分離</w:t>
      </w:r>
    </w:p>
    <w:p>
      <w:pPr>
        <w:pStyle w:val="ListBullet"/>
        <w:spacing w:after="60"/>
      </w:pPr>
      <w:r>
        <w:t>已實現權益：只在平倉時累加交易淨損益；testing2.xlsx 能重建此口徑。</w:t>
      </w:r>
    </w:p>
    <w:p>
      <w:pPr>
        <w:pStyle w:val="ListBullet"/>
        <w:spacing w:after="60"/>
      </w:pPr>
      <w:r>
        <w:t>逐 K mark-to-market 權益：已實現權益加上持倉毛浮盈虧及已發生費用；最大回撤與夏普使用此口徑。</w:t>
      </w:r>
    </w:p>
    <w:p>
      <w:pPr>
        <w:pStyle w:val="ListBullet"/>
        <w:spacing w:after="60"/>
      </w:pPr>
      <w:r>
        <w:t>有限責任權益：帳戶資產不得低於 0；到達清算／破產條件後必須終止或維持 0，禁止恢復。</w:t>
      </w:r>
    </w:p>
    <w:p>
      <w:pPr>
        <w:pStyle w:val="ListBullet"/>
        <w:spacing w:after="60"/>
      </w:pPr>
      <w:r>
        <w:t>策略局部止損：價格或策略狀態條件，不等於交易所保證金與強制清算。</w:t>
      </w:r>
    </w:p>
    <w:p>
      <w:pPr>
        <w:pStyle w:val="Heading1"/>
      </w:pPr>
      <w:r>
        <w:t>二、數值法證與完整對帳</w:t>
      </w:r>
    </w:p>
    <w:p>
      <w:pPr>
        <w:pStyle w:val="Heading2"/>
      </w:pPr>
      <w:r>
        <w:t>2.1 畫面、Excel 與 accounting 對帳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59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獨立重算／原始值</w:t>
            </w:r>
          </w:p>
        </w:tc>
        <w:tc>
          <w:tcPr>
            <w:tcW w:type="dxa" w:w="439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對帳說明</w:t>
            </w:r>
          </w:p>
        </w:tc>
      </w:tr>
      <w:t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平倉交易數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91 筆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與畫面 90 勝／1 負一致</w:t>
            </w:r>
          </w:p>
        </w:tc>
      </w:tr>
      <w:tr>
        <w:tc>
          <w:tcPr>
            <w:tcW w:type="dxa" w:w="237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平倉 PnL 合計</w:t>
            </w:r>
          </w:p>
        </w:tc>
        <w:tc>
          <w:tcPr>
            <w:tcW w:type="dxa" w:w="25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20,861.23 USDT</w:t>
            </w:r>
          </w:p>
        </w:tc>
        <w:tc>
          <w:tcPr>
            <w:tcW w:type="dxa" w:w="43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Excel 91 筆逐列加總</w:t>
            </w:r>
          </w:p>
        </w:tc>
      </w:tr>
      <w:t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期末未實現 PnL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-2.15 USDT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尚有 1 個 long open position</w:t>
            </w:r>
          </w:p>
        </w:tc>
      </w:tr>
      <w:tr>
        <w:tc>
          <w:tcPr>
            <w:tcW w:type="dxa" w:w="237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總回報 USDT</w:t>
            </w:r>
          </w:p>
        </w:tc>
        <w:tc>
          <w:tcPr>
            <w:tcW w:type="dxa" w:w="25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20,859.08 USDT</w:t>
            </w:r>
          </w:p>
        </w:tc>
        <w:tc>
          <w:tcPr>
            <w:tcW w:type="dxa" w:w="43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20,861.23 − 2.15 = 20,859.08</w:t>
            </w:r>
          </w:p>
        </w:tc>
      </w:tr>
      <w:t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期末權益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30,859.08 USDT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10,000 + 20,859.08 = 30,859.08</w:t>
            </w:r>
          </w:p>
        </w:tc>
      </w:tr>
      <w:tr>
        <w:tc>
          <w:tcPr>
            <w:tcW w:type="dxa" w:w="237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已實現權益最大回撤</w:t>
            </w:r>
          </w:p>
        </w:tc>
        <w:tc>
          <w:tcPr>
            <w:tcW w:type="dxa" w:w="25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1.82 USDT／0.0181%</w:t>
            </w:r>
          </w:p>
        </w:tc>
        <w:tc>
          <w:tcPr>
            <w:tcW w:type="dxa" w:w="43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只能反映平倉序列，不能代表持倉期間風險</w:t>
            </w:r>
          </w:p>
        </w:tc>
      </w:tr>
      <w:t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逐 K 最大回撤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100.00%／11,450.29 USDT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來自完整 runner 權益路徑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val="clear" w:fill="DDEBF7"/>
          </w:tcPr>
          <w:p>
            <w:r>
              <w:rPr>
                <w:b/>
                <w:color w:val="800000"/>
              </w:rPr>
              <w:t>為何 Excel 與畫面看似矛盾</w:t>
            </w:r>
            <w:r>
              <w:br/>
              <w:t>Excel 的 91 筆資料只記錄交易平倉結果。第 29 個 cycle 在持倉途中曾產生約 −13,802.57 USDT 的浮動毛損，令權益穿越 0，但價格後來回落，該 cycle 最終以 +7,241.75 USDT 平倉。因此平倉交易表呈現大幅獲利，卻無法否定期間內已發生破產。</w:t>
            </w:r>
          </w:p>
        </w:tc>
      </w:tr>
    </w:tbl>
    <w:p/>
    <w:p>
      <w:pPr>
        <w:pStyle w:val="Heading2"/>
      </w:pPr>
      <w:r>
        <w:t>2.2 事故時間線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UTC 時間</w:t>
            </w:r>
          </w:p>
        </w:tc>
        <w:tc>
          <w:tcPr>
            <w:tcW w:type="dxa" w:w="259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權益／事件</w:t>
            </w:r>
          </w:p>
        </w:tc>
        <w:tc>
          <w:tcPr>
            <w:tcW w:type="dxa" w:w="4320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法證意義</w:t>
            </w:r>
          </w:p>
        </w:tc>
      </w:tr>
      <w:t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2025-05-12 18:00:00 UTC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11,401.08 USDT</w:t>
            </w:r>
          </w:p>
        </w:tc>
        <w:tc>
          <w:tcPr>
            <w:tcW w:type="dxa" w:w="43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100% 回撤事件的前置正峰值（舊版降採樣曲線）</w:t>
            </w:r>
          </w:p>
        </w:tc>
      </w:tr>
      <w:tr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2025-05-22 00:00 UTC</w:t>
            </w:r>
          </w:p>
        </w:tc>
        <w:tc>
          <w:tcPr>
            <w:tcW w:type="dxa" w:w="25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753.91 USDT</w:t>
            </w:r>
          </w:p>
        </w:tc>
        <w:tc>
          <w:tcPr>
            <w:tcW w:type="dxa" w:w="432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尚未歸零，但只剩峰值的 6.61%</w:t>
            </w:r>
          </w:p>
        </w:tc>
      </w:tr>
      <w:t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2025-05-22 07:00:00 UTC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-3,242.48 USDT</w:t>
            </w:r>
          </w:p>
        </w:tc>
        <w:tc>
          <w:tcPr>
            <w:tcW w:type="dxa" w:w="43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首次非正權益；有限責任帳戶應在此前清算／破產</w:t>
            </w:r>
          </w:p>
        </w:tc>
      </w:tr>
      <w:tr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2025-05-22 14:00:00 UTC</w:t>
            </w:r>
          </w:p>
        </w:tc>
        <w:tc>
          <w:tcPr>
            <w:tcW w:type="dxa" w:w="25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-5,253.88 USDT</w:t>
            </w:r>
          </w:p>
        </w:tc>
        <w:tc>
          <w:tcPr>
            <w:tcW w:type="dxa" w:w="432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舊版持久化曲線最低權益</w:t>
            </w:r>
          </w:p>
        </w:tc>
      </w:tr>
      <w:tr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2025-05-23 18:00 UTC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3,130.25 USDT</w:t>
            </w:r>
          </w:p>
        </w:tc>
        <w:tc>
          <w:tcPr>
            <w:tcW w:type="dxa" w:w="43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破產後重新變正，直接證明 runner 繼續持有未清算部位</w:t>
            </w:r>
          </w:p>
        </w:tc>
      </w:tr>
      <w:tr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2025-06-01 16:00 UTC</w:t>
            </w:r>
          </w:p>
        </w:tc>
        <w:tc>
          <w:tcPr>
            <w:tcW w:type="dxa" w:w="259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7,241.75 USDT</w:t>
            </w:r>
          </w:p>
        </w:tc>
        <w:tc>
          <w:tcPr>
            <w:tcW w:type="dxa" w:w="432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第 29 cycle 最終平倉獲利，掩蓋中途已破產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89808"/>
            <wp:docPr id="1" name="Picture 1" title="圖 1　原始持久化權益曲線：正峰值、首次穿越零、最低權益與恢復" descr="BTC-USDT 30 分鐘 KRM 回測權益曲線，標示 2025 年 5 月的峰值、首次負權益、最低權益及破產後恢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insolvency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圖 1　原始持久化權益曲線：正峰值、首次穿越零、最低權益與恢復</w:t>
      </w:r>
    </w:p>
    <w:p>
      <w:pPr>
        <w:pStyle w:val="Heading2"/>
      </w:pPr>
      <w:r>
        <w:t>2.3 為何畫面是 11,450.29，但舊持久化曲線重算為 11,401.08</w:t>
      </w:r>
    </w:p>
    <w:p>
      <w:pPr>
        <w:spacing w:after="120" w:line="276" w:lineRule="auto"/>
      </w:pPr>
      <w:r>
        <w:t>畫面指標在 runner 的完整 27,745 點權益路徑上先計算，再把曲線等距降採樣至 2,001 點保存。舊等距抽樣恰好漏掉完整路徑的精確峰值，所以畫面最大回撤金額為 11,450.29 USDT，而從已保存曲線獨立重算為 11,401.08 USDT，差額 49.21 USDT。兩者百分比均為 100%，因為谷值已低於 0。這不是最大回撤公式錯誤，而是舊版曲線持久化的風險極值保真度不足；本次已以 risk-aware 降採樣修補。</w:t>
      </w:r>
    </w:p>
    <w:p>
      <w:pPr>
        <w:pStyle w:val="Heading1"/>
      </w:pPr>
      <w:r>
        <w:t>三、唯一根因與失效機制</w:t>
      </w:r>
    </w:p>
    <w:p>
      <w:pPr>
        <w:pStyle w:val="Heading2"/>
      </w:pPr>
      <w:r>
        <w:t>3.1 馬丁幾何級數使名義曝險遠超資本</w:t>
      </w:r>
    </w:p>
    <w:p>
      <w:pPr>
        <w:spacing w:after="120" w:line="276" w:lineRule="auto"/>
      </w:pPr>
      <w:r>
        <w:t>本次設定首單 100 USDT、倍率 2、最多 15 層。若把第 n 個訂單視為一個層級，累積名義本金為 100 × (2ⁿ − 1)。因此第 6 層為 6,300 USDT、第 7 層為 12,700 USDT，而 12 個訂單（交易紀錄 martinLayer=11）已達 409,500 USDT。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76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風險量</w:t>
            </w:r>
          </w:p>
        </w:tc>
        <w:tc>
          <w:tcPr>
            <w:tcW w:type="dxa" w:w="208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宣告上限</w:t>
            </w:r>
          </w:p>
        </w:tc>
        <w:tc>
          <w:tcPr>
            <w:tcW w:type="dxa" w:w="244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原事故觀察值</w:t>
            </w:r>
          </w:p>
        </w:tc>
        <w:tc>
          <w:tcPr>
            <w:tcW w:type="dxa" w:w="244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超限程度</w:t>
            </w:r>
          </w:p>
        </w:tc>
      </w:tr>
      <w:t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初始資金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10,000.00 USDT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10,000.00 USDT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基準</w:t>
            </w:r>
          </w:p>
        </w:tc>
      </w:tr>
      <w:tr>
        <w:tc>
          <w:tcPr>
            <w:tcW w:type="dxa" w:w="237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S1 gross notional</w:t>
            </w:r>
          </w:p>
        </w:tc>
        <w:tc>
          <w:tcPr>
            <w:tcW w:type="dxa" w:w="208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權益 100%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409,500.02 USDT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40.95 倍</w:t>
            </w:r>
          </w:p>
        </w:tc>
      </w:tr>
      <w:t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1× 槓桿 margin usage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權益 40%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409,500.02 USDT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相對初始 margin 上限約 102.38 倍</w:t>
            </w:r>
          </w:p>
        </w:tc>
      </w:tr>
      <w:tr>
        <w:tc>
          <w:tcPr>
            <w:tcW w:type="dxa" w:w="237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保守全期峰值 gross 上限</w:t>
            </w:r>
          </w:p>
        </w:tc>
        <w:tc>
          <w:tcPr>
            <w:tcW w:type="dxa" w:w="208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33,852.83 USDT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409,500.02 USDT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12.10 倍</w:t>
            </w:r>
          </w:p>
        </w:tc>
      </w:tr>
      <w:t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保守全期峰值 margin 上限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13,541.13 USDT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409,500.02 USDT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30.24 倍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59702"/>
            <wp:docPr id="2" name="Picture 2" title="圖 2　100 USDT、2 倍馬丁的累積名義本金與政策門檻" descr="對數尺度顯示第 6 層首次超過 40% margin budget，第 7 層首次超過 100% gross-notional budget，最終達約 419,517 USDT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in_layer_risk_brea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圖 2　100 USDT、2 倍馬丁的累積名義本金與政策門檻</w:t>
      </w:r>
    </w:p>
    <w:p>
      <w:pPr>
        <w:pStyle w:val="Heading2"/>
      </w:pPr>
      <w:r>
        <w:t>3.2 宣告的 policy 只有 metadata，沒有進入 KRM 訂單准入</w:t>
      </w:r>
    </w:p>
    <w:p>
      <w:pPr>
        <w:spacing w:after="120" w:line="276" w:lineRule="auto"/>
      </w:pPr>
      <w:r>
        <w:t>持久化 executionContext 宣告 riskModelVersion=gross-margin-liquidation-v2、leverage=1、maxGrossNotionalPct=100、maxMarginUsagePct=40；然而 KRM 專屬 runner 的模擬帳戶未接入訂單前風險判斷，新增 layer 時只依策略管理核心決策與 maxLayers 執行。結果是第 6／7 層本應被政策拒絕，卻一路成交至 409,500 USDT。</w:t>
      </w:r>
    </w:p>
    <w:p>
      <w:pPr>
        <w:pStyle w:val="Heading2"/>
      </w:pPr>
      <w:r>
        <w:t>3.3 hardStopLossPct=8% 不是清算保護</w:t>
      </w:r>
    </w:p>
    <w:p>
      <w:pPr>
        <w:spacing w:after="120" w:line="276" w:lineRule="auto"/>
      </w:pPr>
      <w:r>
        <w:t>在 40.95 倍名義曝險下，只需約 2.44% 的逆向價格變動就可耗盡 10,000 USDT 初始資本；8% 價格型 hard stop 理論虧損可達約 32,760 USDT，遠晚於破產。因此策略止損即使正常運作，也不能替代 max gross、margin admission、maintenance margin 與 liquidation。</w:t>
      </w:r>
    </w:p>
    <w:p>
      <w:pPr>
        <w:pStyle w:val="Heading2"/>
      </w:pPr>
      <w:r>
        <w:t>3.4 破產後未清算，造成不可能的績效組合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95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違約代碼</w:t>
            </w:r>
          </w:p>
        </w:tc>
        <w:tc>
          <w:tcPr>
            <w:tcW w:type="dxa" w:w="2376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實際證據</w:t>
            </w:r>
          </w:p>
        </w:tc>
        <w:tc>
          <w:tcPr>
            <w:tcW w:type="dxa" w:w="403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含義</w:t>
            </w:r>
          </w:p>
        </w:tc>
      </w:tr>
      <w:tr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EQUITY_BELOW_ZERO</w:t>
            </w:r>
          </w:p>
        </w:tc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-5,253.88 USDT；上限 0.00 USDT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有限責任回測的權益不得低於 0</w:t>
            </w:r>
          </w:p>
        </w:tc>
      </w:tr>
      <w:tr>
        <w:tc>
          <w:tcPr>
            <w:tcW w:type="dxa" w:w="295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BANKRUPTCY_STATE_MISSING</w:t>
            </w:r>
          </w:p>
        </w:tc>
        <w:tc>
          <w:tcPr>
            <w:tcW w:type="dxa" w:w="237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-3,242.48 USDT；上限 0.00 USDT</w:t>
            </w:r>
          </w:p>
        </w:tc>
        <w:tc>
          <w:tcPr>
            <w:tcW w:type="dxa" w:w="40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權益耗盡但 accounting／legAccounting 未宣告 bankrupt</w:t>
            </w:r>
          </w:p>
        </w:tc>
      </w:tr>
      <w:tr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POST_INSOLVENCY_RECOVERY</w:t>
            </w:r>
          </w:p>
        </w:tc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路徑事件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權益耗盡後仍恢復正值，表示模擬器在破產後繼續交易或保留未清算部位</w:t>
            </w:r>
          </w:p>
        </w:tc>
      </w:tr>
      <w:tr>
        <w:tc>
          <w:tcPr>
            <w:tcW w:type="dxa" w:w="295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GROSS_NOTIONAL_POLICY_BREACH</w:t>
            </w:r>
          </w:p>
        </w:tc>
        <w:tc>
          <w:tcPr>
            <w:tcW w:type="dxa" w:w="237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409,500.02 USDT；上限 33,852.83 USDT</w:t>
            </w:r>
          </w:p>
        </w:tc>
        <w:tc>
          <w:tcPr>
            <w:tcW w:type="dxa" w:w="40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S1 成交名義本金即使以全期間最高權益計算仍超過 executionPolicy 上限</w:t>
            </w:r>
          </w:p>
        </w:tc>
      </w:tr>
      <w:tr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MARGIN_USAGE_POLICY_BREACH</w:t>
            </w:r>
          </w:p>
        </w:tc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409,500.02 USDT；上限 13,541.13 USDT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S1 成交保證金即使以全期間最高權益計算仍超過 executionPolicy 上限</w:t>
            </w:r>
          </w:p>
        </w:tc>
      </w:tr>
    </w:tbl>
    <w:p/>
    <w:p>
      <w:pPr>
        <w:spacing w:after="120" w:line="276" w:lineRule="auto"/>
      </w:pPr>
      <w:r>
        <w:t>這五類違約共同解釋畫面：總回報與 profit factor 使用最終平倉／期末帳本；最大回撤與夏普使用逐 K mark-to-market 曲線。由於 runner 允許負權益後恢復，兩組指標可以同時存在，但整份結果已失去有限責任與可執行性，不能被視為有效回測。</w:t>
      </w:r>
    </w:p>
    <w:p>
      <w:pPr>
        <w:pStyle w:val="Heading1"/>
      </w:pPr>
      <w:r>
        <w:t>四、最大回撤公式與上一輪錯誤修正稽核</w:t>
      </w:r>
    </w:p>
    <w:p>
      <w:pPr>
        <w:pStyle w:val="Heading2"/>
      </w:pPr>
      <w:r>
        <w:t>4.1 最大回撤公式本身正確</w:t>
      </w:r>
    </w:p>
    <w:p>
      <w:pPr>
        <w:spacing w:after="120" w:line="276" w:lineRule="auto"/>
      </w:pPr>
      <w:r>
        <w:t>產品使用正峰值到谷值的 drawdown：DD(t) = [Peak(t) − max(Equity(t), 0)] ÷ Peak(t)。只要 Equity(t) ≤ 0 且歷史 Peak(t) &gt; 0，有限責任回撤即為 100%。因此移除 100% 上限或改用絕對值都會掩蓋破產，不是修正。</w:t>
      </w:r>
    </w:p>
    <w:p>
      <w:pPr>
        <w:pStyle w:val="Heading2"/>
      </w:pPr>
      <w:r>
        <w:t>4.2 上一輪把 entry fee 改成 exit fee 是錯誤</w:t>
      </w:r>
    </w:p>
    <w:p>
      <w:pPr>
        <w:spacing w:after="120" w:line="276" w:lineRule="auto"/>
      </w:pPr>
      <w:r>
        <w:t>現有帳本在開倉時尚未把入場費從 realized equity 扣除，所以 open-position snapshot 必須以毛浮盈虧減去 entryFees，才能把已發生成本納入 mark-to-market。把它改成估計 exitFees 會同時漏掉已發生費用並提前計入未發生成本，且 canonical continuity test 已直接顯示 19.80 與 19.78 的回歸差異。本次已恢復 entry-fee 口徑。該 0.02 USDT 等級差異與 11,450.29 USDT 回撤沒有因果關係。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val="clear" w:fill="FCE4D6"/>
          </w:tcPr>
          <w:p>
            <w:r>
              <w:rPr>
                <w:b/>
                <w:color w:val="800000"/>
              </w:rPr>
              <w:t>更正聲明</w:t>
            </w:r>
            <w:r>
              <w:br/>
              <w:t>上一輪『入場費重複扣除造成負權益』的根因判斷不成立。負權益來自超額名義曝險與缺少清算；費用口徑只是後續被引入的次生回歸，現已回復並受測試保護。</w:t>
            </w:r>
          </w:p>
        </w:tc>
      </w:tr>
    </w:tbl>
    <w:p/>
    <w:p>
      <w:pPr>
        <w:pStyle w:val="Heading1"/>
      </w:pPr>
      <w:r>
        <w:t>五、本次已實施的全策略優化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475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已實施內容</w:t>
            </w:r>
          </w:p>
        </w:tc>
        <w:tc>
          <w:tcPr>
            <w:tcW w:type="dxa" w:w="280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行為變化</w:t>
            </w:r>
          </w:p>
        </w:tc>
      </w:tr>
      <w:t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P0－會計恢復</w:t>
            </w:r>
          </w:p>
        </w:tc>
        <w:tc>
          <w:tcPr>
            <w:tcW w:type="dxa" w:w="47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open-position unrealized PnL 恢復扣 entryFees 的 canonical 語義</w:t>
            </w:r>
          </w:p>
        </w:tc>
        <w:tc>
          <w:tcPr>
            <w:tcW w:type="dxa" w:w="28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消除上一輪次生回歸</w:t>
            </w:r>
          </w:p>
        </w:tc>
      </w:tr>
      <w:tr>
        <w:tc>
          <w:tcPr>
            <w:tcW w:type="dxa" w:w="180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P0－共用 fail-closed</w:t>
            </w:r>
          </w:p>
        </w:tc>
        <w:tc>
          <w:tcPr>
            <w:tcW w:type="dxa" w:w="475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在所有 runner 共用 finalizer 內執行 backtest-risk-integrity-v1</w:t>
            </w:r>
          </w:p>
        </w:tc>
        <w:tc>
          <w:tcPr>
            <w:tcW w:type="dxa" w:w="28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異常結果在 canonical artifact 保存前拋出專用錯誤</w:t>
            </w:r>
          </w:p>
        </w:tc>
      </w:tr>
      <w:t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P0－五類風險守門</w:t>
            </w:r>
          </w:p>
        </w:tc>
        <w:tc>
          <w:tcPr>
            <w:tcW w:type="dxa" w:w="47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負權益、缺少 bankrupt、破產後恢復、gross 超限、margin 超限</w:t>
            </w:r>
          </w:p>
        </w:tc>
        <w:tc>
          <w:tcPr>
            <w:tcW w:type="dxa" w:w="28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不再把失效路徑標為 completed KPI</w:t>
            </w:r>
          </w:p>
        </w:tc>
      </w:tr>
      <w:tr>
        <w:tc>
          <w:tcPr>
            <w:tcW w:type="dxa" w:w="180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P0－risk-aware 降採樣</w:t>
            </w:r>
          </w:p>
        </w:tc>
        <w:tc>
          <w:tcPr>
            <w:tcW w:type="dxa" w:w="475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保留首尾、全域高低、最大回撤峰谷、首次非正、前一點與首次恢復</w:t>
            </w:r>
          </w:p>
        </w:tc>
        <w:tc>
          <w:tcPr>
            <w:tcW w:type="dxa" w:w="28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2,001 點曲線不再漏掉風險極值／瞬時破產</w:t>
            </w:r>
          </w:p>
        </w:tc>
      </w:tr>
      <w:t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P0－九策略 source contract</w:t>
            </w:r>
          </w:p>
        </w:tc>
        <w:tc>
          <w:tcPr>
            <w:tcW w:type="dxa" w:w="47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九個內建 S1 runner 必須經過 finalizeV25Result 與 assertBacktestRiskIntegrity</w:t>
            </w:r>
          </w:p>
        </w:tc>
        <w:tc>
          <w:tcPr>
            <w:tcW w:type="dxa" w:w="28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未來新增直接 return runner 結果會使測試失敗</w:t>
            </w:r>
          </w:p>
        </w:tc>
      </w:tr>
      <w:tr>
        <w:tc>
          <w:tcPr>
            <w:tcW w:type="dxa" w:w="180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P0－結構化錯誤</w:t>
            </w:r>
          </w:p>
        </w:tc>
        <w:tc>
          <w:tcPr>
            <w:tcW w:type="dxa" w:w="475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將風險完整性失敗納入回測錯誤分類</w:t>
            </w:r>
          </w:p>
        </w:tc>
        <w:tc>
          <w:tcPr>
            <w:tcW w:type="dxa" w:w="28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前端／任務層可區分資料風險與一般執行錯誤</w:t>
            </w:r>
          </w:p>
        </w:tc>
      </w:tr>
    </w:tbl>
    <w:p/>
    <w:p>
      <w:pPr>
        <w:pStyle w:val="Heading2"/>
      </w:pPr>
      <w:r>
        <w:t>5.1 全部九個策略的覆蓋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52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策略 key</w:t>
            </w:r>
          </w:p>
        </w:tc>
        <w:tc>
          <w:tcPr>
            <w:tcW w:type="dxa" w:w="331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S1 執行路徑</w:t>
            </w:r>
          </w:p>
        </w:tc>
        <w:tc>
          <w:tcPr>
            <w:tcW w:type="dxa" w:w="2520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本次覆蓋</w:t>
            </w:r>
          </w:p>
        </w:tc>
      </w:tr>
      <w:t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strategy_20415</w:t>
            </w:r>
          </w:p>
        </w:tc>
        <w:tc>
          <w:tcPr>
            <w:tcW w:type="dxa" w:w="33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runRainbow20415Backtest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</w:t>
            </w:r>
          </w:p>
        </w:tc>
      </w:tr>
      <w:tr>
        <w:tc>
          <w:tcPr>
            <w:tcW w:type="dxa" w:w="35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RAINBOW_TREND_LADDER_V1</w:t>
            </w:r>
          </w:p>
        </w:tc>
        <w:tc>
          <w:tcPr>
            <w:tcW w:type="dxa" w:w="331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runRainbowTrendLadderBacktest</w:t>
            </w:r>
          </w:p>
        </w:tc>
        <w:tc>
          <w:tcPr>
            <w:tcW w:type="dxa" w:w="252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finalizer＋risk-aware sampling</w:t>
            </w:r>
          </w:p>
        </w:tc>
      </w:tr>
      <w:t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KAMA_RAINBOW_MARTIN_V1</w:t>
            </w:r>
          </w:p>
        </w:tc>
        <w:tc>
          <w:tcPr>
            <w:tcW w:type="dxa" w:w="33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runKamaRainbowMartinBacktest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finalizer＋risk-aware sampling</w:t>
            </w:r>
          </w:p>
        </w:tc>
      </w:tr>
      <w:tr>
        <w:tc>
          <w:tcPr>
            <w:tcW w:type="dxa" w:w="35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KAMA_3K_BREAKOUT_V25</w:t>
            </w:r>
          </w:p>
        </w:tc>
        <w:tc>
          <w:tcPr>
            <w:tcW w:type="dxa" w:w="331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runV25Backtest</w:t>
            </w:r>
          </w:p>
        </w:tc>
        <w:tc>
          <w:tcPr>
            <w:tcW w:type="dxa" w:w="252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</w:t>
            </w:r>
          </w:p>
        </w:tc>
      </w:tr>
      <w:t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20415_KAMA_MARTIN_V35</w:t>
            </w:r>
          </w:p>
        </w:tc>
        <w:tc>
          <w:tcPr>
            <w:tcW w:type="dxa" w:w="33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KAMA runner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finalizer＋risk-aware sampling</w:t>
            </w:r>
          </w:p>
        </w:tc>
      </w:tr>
      <w:tr>
        <w:tc>
          <w:tcPr>
            <w:tcW w:type="dxa" w:w="35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20415_KAMA_MARTIN_V41</w:t>
            </w:r>
          </w:p>
        </w:tc>
        <w:tc>
          <w:tcPr>
            <w:tcW w:type="dxa" w:w="331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KAMA runner</w:t>
            </w:r>
          </w:p>
        </w:tc>
        <w:tc>
          <w:tcPr>
            <w:tcW w:type="dxa" w:w="252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finalizer＋risk-aware sampling</w:t>
            </w:r>
          </w:p>
        </w:tc>
      </w:tr>
      <w:t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KAMA_3K_ULTIMATE_V50</w:t>
            </w:r>
          </w:p>
        </w:tc>
        <w:tc>
          <w:tcPr>
            <w:tcW w:type="dxa" w:w="33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KAMA runner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finalizer＋risk-aware sampling</w:t>
            </w:r>
          </w:p>
        </w:tc>
      </w:tr>
      <w:tr>
        <w:tc>
          <w:tcPr>
            <w:tcW w:type="dxa" w:w="35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KAMA_3K_HF_V61</w:t>
            </w:r>
          </w:p>
        </w:tc>
        <w:tc>
          <w:tcPr>
            <w:tcW w:type="dxa" w:w="331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KAMA runner</w:t>
            </w:r>
          </w:p>
        </w:tc>
        <w:tc>
          <w:tcPr>
            <w:tcW w:type="dxa" w:w="252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finalizer＋risk-aware sampling</w:t>
            </w:r>
          </w:p>
        </w:tc>
      </w:tr>
      <w:tr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KAMA_3K_TORNADO_V70</w:t>
            </w:r>
          </w:p>
        </w:tc>
        <w:tc>
          <w:tcPr>
            <w:tcW w:type="dxa" w:w="33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runV70Backtest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</w:t>
            </w:r>
          </w:p>
        </w:tc>
      </w:tr>
    </w:tbl>
    <w:p/>
    <w:p>
      <w:pPr>
        <w:pStyle w:val="Heading2"/>
      </w:pPr>
      <w:r>
        <w:t>5.2 本次修正的誠實邊界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val="clear" w:fill="FFF2CC"/>
          </w:tcPr>
          <w:p>
            <w:r>
              <w:rPr>
                <w:b/>
                <w:color w:val="800000"/>
              </w:rPr>
              <w:t>目前是安全阻斷，不是完整經濟重算</w:t>
            </w:r>
            <w:r>
              <w:br/>
              <w:t>POSTHOC_ONLY 守門可防止錯誤 KPI 發布，但它不會替 legacy runner 回填『如果第 6／7 層當時被拒單』後的替代交易路徑。要得到修正後真正的收益、勝率與回撤，必須先把 runner 接入 runtime risk kernel，再以同一資料重跑。</w:t>
            </w:r>
          </w:p>
        </w:tc>
      </w:tr>
    </w:tbl>
    <w:p/>
    <w:p>
      <w:pPr>
        <w:pStyle w:val="Heading1"/>
      </w:pPr>
      <w:r>
        <w:t>六、驗證結果與驗收矩陣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驗證項</w:t>
            </w:r>
          </w:p>
        </w:tc>
        <w:tc>
          <w:tcPr>
            <w:tcW w:type="dxa" w:w="403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244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原事故 job 套用新守門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passed=false；5 類違約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正確拒絕</w:t>
            </w:r>
          </w:p>
        </w:tc>
      </w:tr>
      <w:tr>
        <w:tc>
          <w:tcPr>
            <w:tcW w:type="dxa" w:w="288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風險完整性單元測試</w:t>
            </w:r>
          </w:p>
        </w:tc>
        <w:tc>
          <w:tcPr>
            <w:tcW w:type="dxa" w:w="40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4/4 通過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規則語義正確</w:t>
            </w:r>
          </w:p>
        </w:tc>
      </w:tr>
      <w:t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risk-aware 降採樣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4/4 通過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瞬時破產與 DD 峰谷必保留</w:t>
            </w:r>
          </w:p>
        </w:tc>
      </w:tr>
      <w:tr>
        <w:tc>
          <w:tcPr>
            <w:tcW w:type="dxa" w:w="288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九策略派發契約</w:t>
            </w:r>
          </w:p>
        </w:tc>
        <w:tc>
          <w:tcPr>
            <w:tcW w:type="dxa" w:w="40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2/2 通過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禁止繞過共用 finalizer</w:t>
            </w:r>
          </w:p>
        </w:tc>
      </w:tr>
      <w:t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聚焦風險回歸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3 files／10 tests 通過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守門、覆蓋、採樣共同正確</w:t>
            </w:r>
          </w:p>
        </w:tc>
      </w:tr>
      <w:tr>
        <w:tc>
          <w:tcPr>
            <w:tcW w:type="dxa" w:w="288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完整 Vitest</w:t>
            </w:r>
          </w:p>
        </w:tc>
        <w:tc>
          <w:tcPr>
            <w:tcW w:type="dxa" w:w="40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142 files passed；1,129 tests passed；2 files／5 tests skipped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無已知測試回歸</w:t>
            </w:r>
          </w:p>
        </w:tc>
      </w:tr>
      <w:t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TypeScript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tsc --noEmit 通過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型別契約一致</w:t>
            </w:r>
          </w:p>
        </w:tc>
      </w:tr>
      <w:tr>
        <w:tc>
          <w:tcPr>
            <w:tcW w:type="dxa" w:w="288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Production build</w:t>
            </w:r>
          </w:p>
        </w:tc>
        <w:tc>
          <w:tcPr>
            <w:tcW w:type="dxa" w:w="403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Vite＋server bundle 通過</w:t>
            </w:r>
          </w:p>
        </w:tc>
        <w:tc>
          <w:tcPr>
            <w:tcW w:type="dxa" w:w="244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可部署；僅既有 chunk-size 警告</w:t>
            </w:r>
          </w:p>
        </w:tc>
      </w:tr>
    </w:tbl>
    <w:p/>
    <w:p>
      <w:pPr>
        <w:pStyle w:val="Heading2"/>
      </w:pPr>
      <w:r>
        <w:t>6.1 修正後應見行為</w:t>
      </w:r>
    </w:p>
    <w:p>
      <w:pPr>
        <w:pStyle w:val="ListNumber"/>
        <w:spacing w:after="60"/>
      </w:pPr>
      <w:r>
        <w:t>使用相同 KRM 設定重跑時，若 legacy runner 仍生成負權益／超額曝險，job 應失敗並回傳風險完整性錯誤，不應再顯示 completed KPI。</w:t>
      </w:r>
    </w:p>
    <w:p>
      <w:pPr>
        <w:pStyle w:val="ListNumber"/>
        <w:spacing w:after="60"/>
      </w:pPr>
      <w:r>
        <w:t>已存在的歷史 job 是法證證據，不會被本次程式修改回寫；在 UI 重新開啟舊 job 時仍可能看到原 100% 指標，這不代表新守門未生效。</w:t>
      </w:r>
    </w:p>
    <w:p>
      <w:pPr>
        <w:pStyle w:val="ListNumber"/>
        <w:spacing w:after="60"/>
      </w:pPr>
      <w:r>
        <w:t>完成 runtime kernel 遷移後，同一資料重跑必須在第 6 層 margin 或第 7 層 gross 門檻前拒單，且不得出現負權益或破產後恢復。</w:t>
      </w:r>
    </w:p>
    <w:p>
      <w:pPr>
        <w:pStyle w:val="Heading1"/>
      </w:pPr>
      <w:r>
        <w:t>七、完整優化路線與優先順序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388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352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驗收標準</w:t>
            </w:r>
          </w:p>
        </w:tc>
        <w:tc>
          <w:tcPr>
            <w:tcW w:type="dxa" w:w="100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恢復 canonical fee、全策略 fail closed、risk-aware sampling</w:t>
            </w:r>
          </w:p>
        </w:tc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原事故 job 被拒絕；全測試與 build 通過</w:t>
            </w:r>
          </w:p>
        </w:tc>
        <w:tc>
          <w:tcPr>
            <w:tcW w:type="dxa" w:w="10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已完成</w:t>
            </w:r>
          </w:p>
        </w:tc>
      </w:tr>
      <w:tr>
        <w:tc>
          <w:tcPr>
            <w:tcW w:type="dxa" w:w="93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88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把 KRM／Rainbow／legacy KAMA S1 遷移至 threeModePortfolioKernel 或同一 runtime admission API</w:t>
            </w:r>
          </w:p>
        </w:tc>
        <w:tc>
          <w:tcPr>
            <w:tcW w:type="dxa" w:w="35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每次 order 前校驗 gross／margin；逐 K maintenance liquidation；bankruptcy terminal</w:t>
            </w:r>
          </w:p>
        </w:tc>
        <w:tc>
          <w:tcPr>
            <w:tcW w:type="dxa" w:w="10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待實施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為歷史 job 增加 read-time integrity badge／INVALID 狀態遷移</w:t>
            </w:r>
          </w:p>
        </w:tc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舊失效 job 不再以一般 completed 卡片呈現；不刪除原始證據</w:t>
            </w:r>
          </w:p>
        </w:tc>
        <w:tc>
          <w:tcPr>
            <w:tcW w:type="dxa" w:w="10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待實施</w:t>
            </w:r>
          </w:p>
        </w:tc>
      </w:tr>
      <w:tr>
        <w:tc>
          <w:tcPr>
            <w:tcW w:type="dxa" w:w="93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88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完整 risk event ledger 與 Excel 風險工作表</w:t>
            </w:r>
          </w:p>
        </w:tc>
        <w:tc>
          <w:tcPr>
            <w:tcW w:type="dxa" w:w="35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每層准入、拒單、margin、liq price、破產事件可追溯</w:t>
            </w:r>
          </w:p>
        </w:tc>
        <w:tc>
          <w:tcPr>
            <w:tcW w:type="dxa" w:w="10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待實施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把 hard stop 與清算距離並列顯示</w:t>
            </w:r>
          </w:p>
        </w:tc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任何策略止損晚於 liquidation 時，preflight 明確拒絕或警告</w:t>
            </w:r>
          </w:p>
        </w:tc>
        <w:tc>
          <w:tcPr>
            <w:tcW w:type="dxa" w:w="10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建議</w:t>
            </w:r>
          </w:p>
        </w:tc>
      </w:tr>
      <w:tr>
        <w:tc>
          <w:tcPr>
            <w:tcW w:type="dxa" w:w="93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88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禁止無效 KPI 排名／比較</w:t>
            </w:r>
          </w:p>
        </w:tc>
        <w:tc>
          <w:tcPr>
            <w:tcW w:type="dxa" w:w="352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riskIntegrity.passed=false 時不計入策略排名、快照或優化器目標</w:t>
            </w:r>
          </w:p>
        </w:tc>
        <w:tc>
          <w:tcPr>
            <w:tcW w:type="dxa" w:w="10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建議</w:t>
            </w:r>
          </w:p>
        </w:tc>
      </w:tr>
      <w:t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大型前端 chunk 拆分</w:t>
            </w:r>
          </w:p>
        </w:tc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降低目前約 3.52 MB JS bundle 與冷啟動成本</w:t>
            </w:r>
          </w:p>
        </w:tc>
        <w:tc>
          <w:tcPr>
            <w:tcW w:type="dxa" w:w="10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非本事故阻斷項</w:t>
            </w:r>
          </w:p>
        </w:tc>
      </w:tr>
    </w:tbl>
    <w:p/>
    <w:p>
      <w:pPr>
        <w:pStyle w:val="Heading2"/>
      </w:pPr>
      <w:r>
        <w:t>7.1 Runtime kernel 的最低必要契約</w:t>
      </w:r>
    </w:p>
    <w:p>
      <w:pPr>
        <w:pStyle w:val="ListBullet"/>
        <w:spacing w:after="60"/>
      </w:pPr>
      <w:r>
        <w:t>Order admission：以成交後 gross notional、margin usage、maxOpenLegs 與方向互斥政策判斷，超限不得改寫策略持倉狀態。</w:t>
      </w:r>
    </w:p>
    <w:p>
      <w:pPr>
        <w:pStyle w:val="ListBullet"/>
        <w:spacing w:after="60"/>
      </w:pPr>
      <w:r>
        <w:t>Mark-to-market：每根已收盤 K 線計算 wallet balance、unrealized PnL、equity、used margin、maintenance margin 與 headroom。</w:t>
      </w:r>
    </w:p>
    <w:p>
      <w:pPr>
        <w:pStyle w:val="ListBullet"/>
        <w:spacing w:after="60"/>
      </w:pPr>
      <w:r>
        <w:t>Liquidation：equity ≤ maintenance margin 時強制關閉；資產以有限責任封底為 0；bankrupt=true 且狀態不可逆。</w:t>
      </w:r>
    </w:p>
    <w:p>
      <w:pPr>
        <w:pStyle w:val="ListBullet"/>
        <w:spacing w:after="60"/>
      </w:pPr>
      <w:r>
        <w:t>State synchronization：只有模擬交易所確認成交後，策略管理狀態才可增加 layer；拒單不得造成 ghost layer。</w:t>
      </w:r>
    </w:p>
    <w:p>
      <w:pPr>
        <w:pStyle w:val="ListBullet"/>
        <w:spacing w:after="60"/>
      </w:pPr>
      <w:r>
        <w:t>Evidence：所有拒單、清算與破產事件寫入 canonical ledger，績效與 Excel 從同一 ledger 派生。</w:t>
      </w:r>
    </w:p>
    <w:p>
      <w:pPr>
        <w:pStyle w:val="Heading2"/>
      </w:pPr>
      <w:r>
        <w:t>7.2 完成 P1 後的數值驗收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2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驗收項</w:t>
            </w:r>
          </w:p>
        </w:tc>
        <w:tc>
          <w:tcPr>
            <w:tcW w:type="dxa" w:w="6408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必須成立</w:t>
            </w:r>
          </w:p>
        </w:tc>
      </w:tr>
      <w:tr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曝險</w:t>
            </w:r>
          </w:p>
        </w:tc>
        <w:tc>
          <w:tcPr>
            <w:tcW w:type="dxa" w:w="64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observed gross notional ≤ policy gross limit；used margin ≤ policy margin limit</w:t>
            </w:r>
          </w:p>
        </w:tc>
      </w:tr>
      <w:tr>
        <w:tc>
          <w:tcPr>
            <w:tcW w:type="dxa" w:w="295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權益</w:t>
            </w:r>
          </w:p>
        </w:tc>
        <w:tc>
          <w:tcPr>
            <w:tcW w:type="dxa" w:w="64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minimum equity ≥ 0；若 bankrupt，之後所有點維持 0</w:t>
            </w:r>
          </w:p>
        </w:tc>
      </w:tr>
      <w:tr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狀態</w:t>
            </w:r>
          </w:p>
        </w:tc>
        <w:tc>
          <w:tcPr>
            <w:tcW w:type="dxa" w:w="64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marginLiquidationCount 與 ledger 事件一致；禁止 POST_INSOLVENCY_RECOVERY</w:t>
            </w:r>
          </w:p>
        </w:tc>
      </w:tr>
      <w:tr>
        <w:tc>
          <w:tcPr>
            <w:tcW w:type="dxa" w:w="295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資料</w:t>
            </w:r>
          </w:p>
        </w:tc>
        <w:tc>
          <w:tcPr>
            <w:tcW w:type="dxa" w:w="64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完整 metrics 與持久化 risk-aware curve 的最大回撤峰谷完全一致</w:t>
            </w:r>
          </w:p>
        </w:tc>
      </w:tr>
      <w:tr>
        <w:tc>
          <w:tcPr>
            <w:tcW w:type="dxa" w:w="2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64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INVALID／FAILED 不顯示為綠色成功卡，也不參與策略比較</w:t>
            </w:r>
          </w:p>
        </w:tc>
      </w:tr>
      <w:tr>
        <w:tc>
          <w:tcPr>
            <w:tcW w:type="dxa" w:w="2952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回歸</w:t>
            </w:r>
          </w:p>
        </w:tc>
        <w:tc>
          <w:tcPr>
            <w:tcW w:type="dxa" w:w="6408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九策略各至少一組正常、拒單、清算、破產 terminal、切片連續性測試</w:t>
            </w:r>
          </w:p>
        </w:tc>
      </w:tr>
    </w:tbl>
    <w:p/>
    <w:p>
      <w:pPr>
        <w:pStyle w:val="Heading1"/>
      </w:pPr>
      <w:r>
        <w:t>八、最終回答</w:t>
      </w:r>
    </w:p>
    <w:p>
      <w:pPr>
        <w:spacing w:after="120" w:line="276" w:lineRule="auto"/>
      </w:pPr>
      <w:r>
        <w:t>最大回撤之所以仍是 100%，是因為原回測並沒有被錯誤公式誤判；它真的在 2025-05-22 把模擬權益打到負值。系統真正的 bug，是 KRM 的 SINGLE_EXCLUSIVE runner 沒有執行它宣告的 max gross、margin usage 與 liquidation policy，讓 100 USDT、2 倍馬丁一路擴張到約 409,500 USDT 名義倉位，並在破產後繼續持倉直至回復獲利。</w:t>
      </w:r>
    </w:p>
    <w:p>
      <w:pPr>
        <w:spacing w:after="120" w:line="276" w:lineRule="auto"/>
      </w:pPr>
      <w:r>
        <w:t>因此正確處理不是把 100% 改小，而是把該結果判定為無效並禁止發布。本次已完成全九策略共用 fail-closed、五類風險完整性檢查、canonical fee 恢復與 risk-aware 權益降採樣；原事故 job 已被新守門判定不合格。下一個必要工程是 runtime risk kernel 遷移，完成後才能重新產生具有經濟意義的『修正後回撤與收益』。在此之前，原畫面的 +208.59%、98.9% 勝率、profit factor 與夏普均不得作為策略優劣或實盤配置依據。</w:t>
      </w:r>
    </w:p>
    <w:p>
      <w:r>
        <w:br w:type="page"/>
      </w:r>
    </w:p>
    <w:p>
      <w:pPr>
        <w:pStyle w:val="Heading1"/>
      </w:pPr>
      <w:r>
        <w:t>附錄 A｜關鍵證據雜湊與檔案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240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4824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SHA-256</w:t>
            </w:r>
          </w:p>
        </w:tc>
        <w:tc>
          <w:tcPr>
            <w:tcW w:type="dxa" w:w="1296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大小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testing2.xlsx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fec9203b1185bc14dc445fb5ba3544705dc533adc52a8f69aaa41a7debfe5424</w:t>
            </w:r>
          </w:p>
        </w:tc>
        <w:tc>
          <w:tcPr>
            <w:tcW w:type="dxa" w:w="12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20,621 bytes</w:t>
            </w:r>
          </w:p>
        </w:tc>
      </w:tr>
      <w:tr>
        <w:tc>
          <w:tcPr>
            <w:tcW w:type="dxa" w:w="324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job_1785770356467_b7fe7008_forensic_summary.json</w:t>
            </w:r>
          </w:p>
        </w:tc>
        <w:tc>
          <w:tcPr>
            <w:tcW w:type="dxa" w:w="482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f1a411e53a63d604002eb53181e3f5da66aa50165f25b4e7f9ca48e4dcc75f77</w:t>
            </w:r>
          </w:p>
        </w:tc>
        <w:tc>
          <w:tcPr>
            <w:tcW w:type="dxa" w:w="129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17,694 bytes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testing2_forensic_summary.json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63f275ae6a965fdc027f773a66b5be08e935d5a7ce1c73bdb6d5fa37e058eab7</w:t>
            </w:r>
          </w:p>
        </w:tc>
        <w:tc>
          <w:tcPr>
            <w:tcW w:type="dxa" w:w="12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5,988 bytes</w:t>
            </w:r>
          </w:p>
        </w:tc>
      </w:tr>
      <w:tr>
        <w:tc>
          <w:tcPr>
            <w:tcW w:type="dxa" w:w="324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persisted_job_risk_integrity_assessment.json</w:t>
            </w:r>
          </w:p>
        </w:tc>
        <w:tc>
          <w:tcPr>
            <w:tcW w:type="dxa" w:w="482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786b2efabb67335d03f67d9c92a27ad17c4597ccabee453d5ce4469c9f217029</w:t>
            </w:r>
          </w:p>
        </w:tc>
        <w:tc>
          <w:tcPr>
            <w:tcW w:type="dxa" w:w="129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2,001 bytes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job_1785770356467_b7fe7008_equity_curve.json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3d3aedbf1195d364b1ece3bf2e702a473ea6f0b9bb46818049380b51f4420ff5</w:t>
            </w:r>
          </w:p>
        </w:tc>
        <w:tc>
          <w:tcPr>
            <w:tcW w:type="dxa" w:w="12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570,897 bytes</w:t>
            </w:r>
          </w:p>
        </w:tc>
      </w:tr>
      <w:tr>
        <w:tc>
          <w:tcPr>
            <w:tcW w:type="dxa" w:w="324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job_1785770356467_b7fe7008_trades.json</w:t>
            </w:r>
          </w:p>
        </w:tc>
        <w:tc>
          <w:tcPr>
            <w:tcW w:type="dxa" w:w="482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a6da4fd8a64b78bce639967948be1bdc931ef15a07fe4cdedc013488454d930c</w:t>
            </w:r>
          </w:p>
        </w:tc>
        <w:tc>
          <w:tcPr>
            <w:tcW w:type="dxa" w:w="129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42,960 bytes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backtestRiskIntegrity.ts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7156489250aefa2732760e8b55c65ef2da52efd0dcc21c82daa74c8b69425e67</w:t>
            </w:r>
          </w:p>
        </w:tc>
        <w:tc>
          <w:tcPr>
            <w:tcW w:type="dxa" w:w="12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8,963 bytes</w:t>
            </w:r>
          </w:p>
        </w:tc>
      </w:tr>
      <w:tr>
        <w:tc>
          <w:tcPr>
            <w:tcW w:type="dxa" w:w="324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equityCurveDownsample.ts</w:t>
            </w:r>
          </w:p>
        </w:tc>
        <w:tc>
          <w:tcPr>
            <w:tcW w:type="dxa" w:w="482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5fd474229c73189d8c223c80ae862021ac065c325f36c5e9bad0374e061abf80</w:t>
            </w:r>
          </w:p>
        </w:tc>
        <w:tc>
          <w:tcPr>
            <w:tcW w:type="dxa" w:w="129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3,525 bytes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final_vitest.log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1a3e044bf5a700b203f2f0e1b3e81545defccb730f4db4118285f2c9152ddbd9</w:t>
            </w:r>
          </w:p>
        </w:tc>
        <w:tc>
          <w:tcPr>
            <w:tcW w:type="dxa" w:w="12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50,628 bytes</w:t>
            </w:r>
          </w:p>
        </w:tc>
      </w:tr>
      <w:tr>
        <w:tc>
          <w:tcPr>
            <w:tcW w:type="dxa" w:w="3240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final_build.log</w:t>
            </w:r>
          </w:p>
        </w:tc>
        <w:tc>
          <w:tcPr>
            <w:tcW w:type="dxa" w:w="482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b4c6475cd32c1cb2991fedbc7d52aa228b35edbdc196e7f9dbabc053fabe88a0</w:t>
            </w:r>
          </w:p>
        </w:tc>
        <w:tc>
          <w:tcPr>
            <w:tcW w:type="dxa" w:w="129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1,215 bytes</w:t>
            </w:r>
          </w:p>
        </w:tc>
      </w:tr>
    </w:tbl>
    <w:p/>
    <w:p>
      <w:pPr>
        <w:pStyle w:val="Heading1"/>
      </w:pPr>
      <w:r>
        <w:t>附錄 B｜已修改與新增的核心檔案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104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5256"/>
            <w:shd w:val="clear"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backtestRiskIntegrity.ts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全策略 posthoc fail-closed 與五類違約診斷</w:t>
            </w:r>
          </w:p>
        </w:tc>
      </w:tr>
      <w:tr>
        <w:tc>
          <w:tcPr>
            <w:tcW w:type="dxa" w:w="410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backtestEngine.ts</w:t>
            </w:r>
          </w:p>
        </w:tc>
        <w:tc>
          <w:tcPr>
            <w:tcW w:type="dxa" w:w="525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共用 finalizer 接線、保存前守門、risk metadata</w:t>
            </w:r>
          </w:p>
        </w:tc>
      </w:tr>
      <w:tr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backtestContracts.ts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恢復 entry-fee 估值並保存 riskIntegrity 契約</w:t>
            </w:r>
          </w:p>
        </w:tc>
      </w:tr>
      <w:tr>
        <w:tc>
          <w:tcPr>
            <w:tcW w:type="dxa" w:w="410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backtestRunnerPreflight.ts</w:t>
            </w:r>
          </w:p>
        </w:tc>
        <w:tc>
          <w:tcPr>
            <w:tcW w:type="dxa" w:w="525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風險完整性結構化錯誤分類</w:t>
            </w:r>
          </w:p>
        </w:tc>
      </w:tr>
      <w:tr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equityCurveDownsample.ts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保留破產與最大回撤關鍵點的共用降採樣</w:t>
            </w:r>
          </w:p>
        </w:tc>
      </w:tr>
      <w:tr>
        <w:tc>
          <w:tcPr>
            <w:tcW w:type="dxa" w:w="410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kamaRainbowMartinBacktest.ts</w:t>
            </w:r>
          </w:p>
        </w:tc>
        <w:tc>
          <w:tcPr>
            <w:tcW w:type="dxa" w:w="525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改用共用 risk-aware sampler</w:t>
            </w:r>
          </w:p>
        </w:tc>
      </w:tr>
      <w:tr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rainbowTrendLadderBacktest.ts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改用共用 risk-aware sampler</w:t>
            </w:r>
          </w:p>
        </w:tc>
      </w:tr>
      <w:tr>
        <w:tc>
          <w:tcPr>
            <w:tcW w:type="dxa" w:w="4104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backtestRiskIntegrity*.test.ts</w:t>
            </w:r>
          </w:p>
        </w:tc>
        <w:tc>
          <w:tcPr>
            <w:tcW w:type="dxa" w:w="5256"/>
            <w:shd w:val="clear" w:fill="EAF2F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規則、九策略覆蓋與 source contract</w:t>
            </w:r>
          </w:p>
        </w:tc>
      </w:tr>
      <w:tr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equityCurveDownsample.test.ts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7"/>
              </w:rPr>
              <w:t>瞬時破產／最大回撤峰谷／三入口接線測試</w:t>
            </w:r>
          </w:p>
        </w:tc>
      </w:tr>
    </w:tbl>
    <w:p/>
    <w:p>
      <w:pPr>
        <w:pStyle w:val="Heading1"/>
      </w:pPr>
      <w:r>
        <w:t>附錄 C｜限制與風險揭露</w:t>
      </w:r>
    </w:p>
    <w:p>
      <w:pPr>
        <w:pStyle w:val="ListBullet"/>
        <w:spacing w:after="60"/>
      </w:pPr>
      <w:r>
        <w:t>原完整 27,745 點 runner 曲線未直接持久化；原 job 保存的是 2,001 點舊等距抽樣曲線。完整 metrics 仍保留 11,450.29 USDT，而舊曲線可重建 11,401.08 USDT。</w:t>
      </w:r>
    </w:p>
    <w:p>
      <w:pPr>
        <w:pStyle w:val="ListBullet"/>
        <w:spacing w:after="60"/>
      </w:pPr>
      <w:r>
        <w:t>原事故中負權益點幸運地仍被舊抽樣保留；其他 job 可能漏掉瞬時破產，因此本次新增 risk-aware sampler。</w:t>
      </w:r>
    </w:p>
    <w:p>
      <w:pPr>
        <w:pStyle w:val="ListBullet"/>
        <w:spacing w:after="60"/>
      </w:pPr>
      <w:r>
        <w:t>本次未刪除或改寫歷史 job；歷史數據保留供稽核。</w:t>
      </w:r>
    </w:p>
    <w:p>
      <w:pPr>
        <w:pStyle w:val="ListBullet"/>
        <w:spacing w:after="60"/>
      </w:pPr>
      <w:r>
        <w:t>本次未觸發任何實盤下單、撤單、帳戶轉帳或交易所 mutation。</w:t>
      </w:r>
    </w:p>
    <w:p>
      <w:pPr>
        <w:pStyle w:val="ListBullet"/>
        <w:spacing w:after="60"/>
      </w:pPr>
      <w:r>
        <w:t>本報告是軟體與回測模型法證分析，不構成投資建議。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回測中心 100% 最大回撤｜最終法證分析與全策略優化報告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2440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 w:eastAsia="Microsoft JhengHei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Jheng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回測中心 100% 最大回撤最終法證分析與全策略優化報告</dc:title>
  <dc:subject>KAMA_RAINBOW_MARTIN_V1 回測風險完整性</dc:subject>
  <dc:creator>Manus AI</dc:creator>
  <cp:keywords>backtest, drawdown, risk integrity, martingale, liquidation</cp:keywords>
  <dc:description>以 testing2.xlsx、持久化 job、equityCurve 與程式碼完成的法證報告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