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4 -- CORE VALUE PROPOSITION</w:t></w:r><w:bookmarkEnd w:id="1"/></w:p><w:p><w:pPr><w:pStyle w:val="Heading2"/></w:pPr><w:bookmarkStart w:id="2" w:name="_Toc2"/><w:r><w:t>E-Board by Losvinca -- Government & Institutional Sales Kit</w:t></w:r><w:bookmarkEnd w:id="2"/></w:p><w:p><w:pPr><w:pStyle w:val="Heading1"/></w:pPr><w:bookmarkStart w:id="3" w:name="_Toc3"/><w:r><w:t>Section 1: Why Should an Institution Use E-Board?</w:t></w:r><w:bookmarkEnd w:id="3"/></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Normal"/></w:pPr><w:r><w:rPr><w:color w:val="333333"/><w:sz w:val="22"/><w:szCs w:val="22"/></w:rPr><w:t xml:space="preserve">Corporate governance across Kenya and the broader African continent is undergoing a decisive shift. Regulatory bodies, oversight institutions, and stakeholders are demanding higher standards of transparency, accountability, and documented decision-making from boards and governing bodies. Institutions that continue to rely on manual processes, paper-based document circulation, and informal coordination mechanisms are exposing themselves to compliance failures, audit findings, and reputational risk. E-Board exists to close this gap -- providing a purpose-built digital platform that brings structure, security, and professionalism to every aspect of board governance.</w:t></w:r></w:p><w:p><w:pPr><w:pStyle w:val="Normal"/></w:pPr><w:r><w:rPr><w:color w:val="333333"/><w:sz w:val="22"/><w:szCs w:val="22"/></w:rPr><w:t xml:space="preserve">The imperative for digital board governance is not speculative. Kenya's Mwongozo Code of Governance for State Corporations, the Companies Act 2015, and sector-specific regulations from bodies such as the Capital Markets Authority all impose requirements around record-keeping, notice periods, conflict of interest declarations, and audit trails. Meeting these requirements through manual processes is not merely inefficient -- it is increasingly untenable. E-Board translates these regulatory obligations into structured digital workflows, ensuring that compliance is embedded in the institution's daily operations rather than bolted on as an afterthought.</w:t></w:r></w:p><w:p><w:pPr><w:pStyle w:val="Normal"/></w:pPr><w:r><w:rPr><w:color w:val="333333"/><w:sz w:val="22"/><w:szCs w:val="22"/></w:rPr><w:t xml:space="preserve">The transformation E-Board enables extends beyond compliance. When board papers move through a structured multi-stage review process, when meeting attendance is captured with OTP verification and digital signatures, when every data change is logged with timestamps and user identification, and when documents are stored with controlled visibility and tracked downloads, the institution fundamentally elevates the quality of its governance. Board members gain timely access to the information they need. Management gains visibility into pending actions and resolution status. Auditors gain a verifiable trail of decisions and their implementation.</w:t></w:r></w:p><w:p><w:pPr><w:pStyle w:val="Normal"/></w:pPr><w:r><w:rPr><w:color w:val="333333"/><w:sz w:val="22"/><w:szCs w:val="22"/></w:rPr><w:t xml:space="preserve">For institutions across Kenya's 47 counties and beyond, E-Board represents a practical, deployable solution that respects local governance requirements -- including the Kenyan fiscal year cycle, the 10-day advance notice requirement for board meetings, and the organizational structures that define how government and institutional bodies operate. This is not a generic collaboration tool adapted for governance; it is a governance platform built from the ground up for the institutions that need it most.</w:t></w:r></w:p><w:p><w:pPr><w:pStyle w:val="Heading1"/></w:pPr><w:bookmarkStart w:id="4" w:name="_Toc4"/><w:r><w:t>Section 2: What Problem Does E-Board Solve?</w:t></w:r><w:bookmarkEnd w:id="4"/></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Normal"/></w:pPr><w:r><w:rPr><w:color w:val="333333"/><w:sz w:val="22"/><w:szCs w:val="22"/></w:rPr><w:t xml:space="preserve">The most pervasive challenge facing institutional governance in Kenya and across Africa is fragmentation. Board papers are prepared in one system, distributed via another, stored in a third, and tracked -- if at all -- through manual registers and spreadsheets. Meeting notices are sent by email with no systematic confirmation of receipt or compliance with statutory notice periods. Conflict of interest declarations, when they occur, are captured on paper forms that are difficult to retrieve, verify, or audit. This fragmentation creates gaps that undermine governance quality and expose institutions to regulatory, legal, and reputational risk.</w:t></w:r></w:p><w:p><w:pPr><w:pStyle w:val="Normal"/></w:pPr><w:r><w:rPr><w:color w:val="333333"/><w:sz w:val="22"/><w:szCs w:val="22"/></w:rPr><w:t xml:space="preserve">Manual processes compound the problem. When an officer prepares a board paper, the review process often depends on physical document circulation or unstructured email chains. There is no systematic way to track which version a director has reviewed, whether the CEO has provided feedback, or whether annexures are complete. When meetings occur, attendance may be recorded on sign-in sheets that can be misplaced or disputed. Minutes are captured in word processors with no linkage to the resolutions they record, the papers they reference, or the actions they assign. The result is a governance environment where accountability is asserted but rarely provable.</w:t></w:r></w:p><w:p><w:pPr><w:pStyle w:val="Normal"/></w:pPr><w:r><w:rPr><w:color w:val="333333"/><w:sz w:val="22"/><w:szCs w:val="22"/></w:rPr><w:t xml:space="preserve">Security and access control represent another category of problems that manual governance cannot adequately address. Sensitive board papers circulated via email can be forwarded without restriction. Documents stored on shared drives lack granular visibility controls. There is no audit trail showing who accessed what information and when. For institutions handling commercially sensitive decisions, personnel matters, or matters of public interest, these security gaps represent a material risk that grows with every board cycle.</w:t></w:r></w:p><w:p><w:pPr><w:pStyle w:val="Normal"/></w:pPr><w:r><w:rPr><w:color w:val="333333"/><w:sz w:val="22"/><w:szCs w:val="22"/></w:rPr><w:t xml:space="preserve">E-Board addresses each of these problems through an integrated platform that manages the complete board governance lifecycle. From the initial planning of the annual meeting calendar through the almanac management system, to the preparation and multi-stage review of board papers, to the conduct of meetings with verified attendance and conflict declarations, to the capture of minutes and tracking of resolutions -- every step occurs within a single, secured, auditable environment. The platform replaces fragmentation with integration, manual processes with structured workflows, and informal practices with documented, verifiable governance.</w:t></w:r></w:p><w:p><w:pPr><w:pStyle w:val="Heading1"/></w:pPr><w:bookmarkStart w:id="5" w:name="_Toc5"/><w:r><w:t>Section 3: What Happens Without E-Board?</w:t></w:r><w:bookmarkEnd w:id="5"/></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Normal"/></w:pPr><w:r><w:rPr><w:color w:val="333333"/><w:sz w:val="22"/><w:szCs w:val="22"/></w:rPr><w:t xml:space="preserve">Consider a state corporation preparing for a quarterly board meeting. The Corporation Secretary's office begins assembling board papers three weeks before the scheduled date. Papers arrive from different divisions in different formats, at different times, with varying levels of completeness. The review process -- officer to director to CEO -- happens through email chains and physical document circulation. A director provides feedback on a paper, but the officer has already submitted a revised version. The CEO reviews an outdated draft. Annexures are missing. The 10-day notice requirement is met on paper, but the notice itself was sent to board members' personal email addresses with no confirmation of delivery. On the day of the meeting, two board members claim they did not receive the papers in time. The meeting proceeds, but its legitimacy is shadowed by procedural uncertainty.</w:t></w:r></w:p><w:p><w:pPr><w:pStyle w:val="Normal"/></w:pPr><w:r><w:rPr><w:color w:val="333333"/><w:sz w:val="22"/><w:szCs w:val="22"/></w:rPr><w:t xml:space="preserve">This scenario is not exceptional -- it is routine across many Kenyan government institutions, county assemblies, parastatals, and private sector boards. The consequences accumulate over time. Audit reports cite governance findings. The Auditor General's office flags inadequate record-keeping. Board members make decisions based on incomplete information because the document distribution process failed. Resolutions are passed but not tracked to completion, because there is no systematic mechanism to assign responsibility, set due dates, and monitor status. Conflict of interest declarations are inconsistently captured, creating legal exposure when board decisions are later challenged.</w:t></w:r></w:p><w:p><w:pPr><w:pStyle w:val="Normal"/></w:pPr><w:r><w:rPr><w:color w:val="333333"/><w:sz w:val="22"/><w:szCs w:val="22"/></w:rPr><w:t xml:space="preserve">The financial and institutional costs of this governance deficit are substantial but often invisible until a crisis occurs. When a procurement decision is challenged and the institution cannot produce a complete, timestamped record of the board deliberation, the cost becomes visible. When an audit finding results in a management letter because meeting attendance records are incomplete or unsigned, the cost becomes visible. When a board member's potential conflict of interest surfaces after a decision has been implemented because the declaration process was informal and undocumented, the cost becomes visible. These are not hypothetical risks -- they are documented patterns across Kenyan institutional governance.</w:t></w:r></w:p><w:p><w:pPr><w:pStyle w:val="Normal"/></w:pPr><w:r><w:rPr><w:color w:val="333333"/><w:sz w:val="22"/><w:szCs w:val="22"/></w:rPr><w:t xml:space="preserve">The cost of inaction is not merely the continuation of current inefficiencies. It is the compounding of governance risk in an environment where regulatory expectations are rising, audit scrutiny is intensifying, and public demand for institutional accountability is growing. Every board cycle that passes without a structured governance platform adds another layer of unverifiable decisions, untraceable documents, and unenforceable resolutions to the institution's governance record.</w:t></w:r></w:p><w:p><w:pPr><w:pStyle w:val="Heading1"/></w:pPr><w:bookmarkStart w:id="6" w:name="_Toc6"/><w:r><w:t>Section 4: Benefits by Category</w:t></w:r><w:bookmarkEnd w:id="6"/></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Heading3"/></w:pPr><w:bookmarkStart w:id="7" w:name="_Toc7"/><w:r><w:t>Operational Benefits (Streamlined Workflows, Time Savings, Automation)</w:t></w:r><w:bookmarkEnd w:id="7"/></w:p><w:p><w:pPr><w:pStyle w:val="ListBullet"/><w:numPr><w:ilvl w:val="0"/><w:numId w:val="9"/></w:numPr></w:pPr><w:r><w:rPr><w:color w:val="2C3E50"/><w:sz w:val="22"/><w:szCs w:val="22"/><w:b w:val="1"/><w:bCs w:val="1"/></w:rPr><w:t xml:space="preserve">Structured Meeting Lifecycle Management</w:t></w:r><w:r><w:rPr><w:color w:val="333333"/><w:sz w:val="22"/><w:szCs w:val="22"/></w:rPr><w:t xml:space="preserve">Structured Meeting Lifecycle Management</w:t></w:r><w:r><w:rPr><w:color w:val="333333"/><w:sz w:val="22"/><w:szCs w:val="22"/></w:rPr><w:t xml:space="preserve">: The 10-stage meeting workflow -- from initiation through minutes capture -- eliminates ad hoc coordination and ensures every meeting follows a consistent, repeatable process. Each stage has defined inputs, outputs, and responsible parties.</w:t></w:r></w:p><w:p><w:pPr><w:pStyle w:val="ListBullet"/><w:numPr><w:ilvl w:val="0"/><w:numId w:val="9"/></w:numPr></w:pPr><w:r><w:rPr><w:color w:val="2C3E50"/><w:sz w:val="22"/><w:szCs w:val="22"/><w:b w:val="1"/><w:bCs w:val="1"/></w:rPr><w:t xml:space="preserve">Automated Document Distribution</w:t></w:r><w:r><w:rPr><w:color w:val="333333"/><w:sz w:val="22"/><w:szCs w:val="22"/></w:rPr><w:t xml:space="preserve">Automated Document Distribution</w:t></w:r><w:r><w:rPr><w:color w:val="333333"/><w:sz w:val="22"/><w:szCs w:val="22"/></w:rPr><w:t xml:space="preserve">: Board papers, notices, and meeting materials are distributed through the platform's email system with 33+ templates and configurable SMTP, replacing manual email preparation and eliminating version confusion.</w:t></w:r></w:p><w:p><w:pPr><w:pStyle w:val="ListBullet"/><w:numPr><w:ilvl w:val="0"/><w:numId w:val="9"/></w:numPr></w:pPr><w:r><w:rPr><w:color w:val="2C3E50"/><w:sz w:val="22"/><w:szCs w:val="22"/><w:b w:val="1"/><w:bCs w:val="1"/></w:rPr><w:t xml:space="preserve">Centralized Document Repository</w:t></w:r><w:r><w:rPr><w:color w:val="333333"/><w:sz w:val="22"/><w:szCs w:val="22"/></w:rPr><w:t xml:space="preserve">Centralized Document Repository</w:t></w:r><w:r><w:rPr><w:color w:val="333333"/><w:sz w:val="22"/><w:szCs w:val="22"/></w:rPr><w:t xml:space="preserve">: All board-related documents are stored in a single repository with categorization, multi-format support (up to 20MB), and three visibility levels (all members, committee-specific, or specific members), ending the practice of scattered storage across email inboxes, shared drives, and physical files.</w:t></w:r></w:p><w:p><w:pPr><w:pStyle w:val="ListBullet"/><w:numPr><w:ilvl w:val="0"/><w:numId w:val="9"/></w:numPr></w:pPr><w:r><w:rPr><w:color w:val="2C3E50"/><w:sz w:val="22"/><w:szCs w:val="22"/><w:b w:val="1"/><w:bCs w:val="1"/></w:rPr><w:t xml:space="preserve">Annual Calendar Planning</w:t></w:r><w:r><w:rPr><w:color w:val="333333"/><w:sz w:val="22"/><w:szCs w:val="22"/></w:rPr><w:t xml:space="preserve">Annual Calendar Planning</w:t></w:r><w:r><w:rPr><w:color w:val="333333"/><w:sz w:val="22"/><w:szCs w:val="22"/></w:rPr><w:t xml:space="preserve">: The almanac management system enables planning of the full annual meeting schedule with CEO approval workflow, PDF generation, versioning, and signed document upload -- giving all stakeholders visibility into the governance calendar from the start of the financial year.</w:t></w:r></w:p><w:p><w:pPr><w:pStyle w:val="ListBullet"/><w:numPr><w:ilvl w:val="0"/><w:numId w:val="9"/></w:numPr></w:pPr><w:r><w:rPr><w:color w:val="2C3E50"/><w:sz w:val="22"/><w:szCs w:val="22"/><w:b w:val="1"/><w:bCs w:val="1"/></w:rPr><w:t xml:space="preserve">Role-Based Dashboards</w:t></w:r><w:r><w:rPr><w:color w:val="333333"/><w:sz w:val="22"/><w:szCs w:val="22"/></w:rPr><w:t xml:space="preserve">Role-Based Dashboards</w:t></w:r><w:r><w:rPr><w:color w:val="333333"/><w:sz w:val="22"/><w:szCs w:val="22"/></w:rPr><w:t xml:space="preserve">: Each of the 10 system roles receives a tailored dashboard with pending action widgets, ensuring that every user -- from the Board Member to the Corporation Secretary to the CEO -- sees exactly what requires their attention.</w:t></w:r></w:p><w:p><w:pPr><w:pStyle w:val="ListBullet"/><w:numPr><w:ilvl w:val="0"/><w:numId w:val="9"/></w:numPr></w:pPr><w:r><w:rPr><w:color w:val="2C3E50"/><w:sz w:val="22"/><w:szCs w:val="22"/><w:b w:val="1"/><w:bCs w:val="1"/></w:rPr><w:t xml:space="preserve">iPad-Optimized Board Portal</w:t></w:r><w:r><w:rPr><w:color w:val="333333"/><w:sz w:val="22"/><w:szCs w:val="22"/></w:rPr><w:t xml:space="preserve">iPad-Optimized Board Portal</w:t></w:r><w:r><w:rPr><w:color w:val="333333"/><w:sz w:val="22"/><w:szCs w:val="22"/></w:rPr><w:t xml:space="preserve">: Board members access their dashboard, calendar, committees, notices, papers with sticky notes, active meetings, document repository, and profile through an iPad-optimized interface -- supporting the modern expectation of mobile access to governance materials.</w:t></w:r></w:p><w:p><w:pPr><w:pStyle w:val="Heading3"/></w:pPr><w:bookmarkStart w:id="8" w:name="_Toc8"/><w:r><w:t>Governance Benefits (Compliance, 10-Day Notices, Conflict of Interest, Accountability)</w:t></w:r><w:bookmarkEnd w:id="8"/></w:p><w:p><w:pPr><w:pStyle w:val="ListBullet"/><w:numPr><w:ilvl w:val="0"/><w:numId w:val="9"/></w:numPr></w:pPr><w:r><w:rPr><w:color w:val="2C3E50"/><w:sz w:val="22"/><w:szCs w:val="22"/><w:b w:val="1"/><w:bCs w:val="1"/></w:rPr><w:t xml:space="preserve">Statutory Notice Compliance</w:t></w:r><w:r><w:rPr><w:color w:val="333333"/><w:sz w:val="22"/><w:szCs w:val="22"/></w:rPr><w:t xml:space="preserve">Statutory Notice Compliance</w:t></w:r><w:r><w:rPr><w:color w:val="333333"/><w:sz w:val="22"/><w:szCs w:val="22"/></w:rPr><w:t xml:space="preserve">: The board notice system enforces the 10-day advance notice requirement specified under Kenyan governance regulations, with CEO approval workflow and email distribution, providing verifiable evidence of compliance.</w:t></w:r></w:p><w:p><w:pPr><w:pStyle w:val="ListBullet"/><w:numPr><w:ilvl w:val="0"/><w:numId w:val="9"/></w:numPr></w:pPr><w:r><w:rPr><w:color w:val="2C3E50"/><w:sz w:val="22"/><w:szCs w:val="22"/><w:b w:val="1"/><w:bCs w:val="1"/></w:rPr><w:t xml:space="preserve">Conflict of Interest Register</w:t></w:r><w:r><w:rPr><w:color w:val="333333"/><w:sz w:val="22"/><w:szCs w:val="22"/></w:rPr><w:t xml:space="preserve">Conflict of Interest Register</w:t></w:r><w:r><w:rPr><w:color w:val="333333"/><w:sz w:val="22"/><w:szCs w:val="22"/></w:rPr><w:t xml:space="preserve">: Conflict of interest declarations are captured with OTP verification and digital signature, producing a verifiable register that can be exported as PDF or CSV -- meeting regulatory expectations for documented conflict management.</w:t></w:r></w:p><w:p><w:pPr><w:pStyle w:val="ListBullet"/><w:numPr><w:ilvl w:val="0"/><w:numId w:val="9"/></w:numPr></w:pPr><w:r><w:rPr><w:color w:val="2C3E50"/><w:sz w:val="22"/><w:szCs w:val="22"/><w:b w:val="1"/><w:bCs w:val="1"/></w:rPr><w:t xml:space="preserve">Multi-Stage Paper Review</w:t></w:r><w:r><w:rPr><w:color w:val="333333"/><w:sz w:val="22"/><w:szCs w:val="22"/></w:rPr><w:t xml:space="preserve">Multi-Stage Paper Review</w:t></w:r><w:r><w:rPr><w:color w:val="333333"/><w:sz w:val="22"/><w:szCs w:val="22"/></w:rPr><w:t xml:space="preserve">: Board papers pass through a structured officer-to-director-to-CEO review process with versioning, status notifications, and the ability to recall papers -- ensuring that only properly reviewed materials reach the board.</w:t></w:r></w:p><w:p><w:pPr><w:pStyle w:val="ListBullet"/><w:numPr><w:ilvl w:val="0"/><w:numId w:val="9"/></w:numPr></w:pPr><w:r><w:rPr><w:color w:val="2C3E50"/><w:sz w:val="22"/><w:szCs w:val="22"/><w:b w:val="1"/><w:bCs w:val="1"/></w:rPr><w:t xml:space="preserve">Resolution Tracking</w:t></w:r><w:r><w:rPr><w:color w:val="333333"/><w:sz w:val="22"/><w:szCs w:val="22"/></w:rPr><w:t xml:space="preserve">Resolution Tracking</w:t></w:r><w:r><w:rPr><w:color w:val="333333"/><w:sz w:val="22"/><w:szCs w:val="22"/></w:rPr><w:t xml:space="preserve">: Board resolutions are linked to meetings, assigned to responsible officers, given due dates, and tracked through defined statuses (pending, in progress, completed, overdue) -- closing the gap between board decisions and their implementation.</w:t></w:r></w:p><w:p><w:pPr><w:pStyle w:val="ListBullet"/><w:numPr><w:ilvl w:val="0"/><w:numId w:val="9"/></w:numPr></w:pPr><w:r><w:rPr><w:color w:val="2C3E50"/><w:sz w:val="22"/><w:szCs w:val="22"/><w:b w:val="1"/><w:bCs w:val="1"/></w:rPr><w:t xml:space="preserve">Kenyan Fiscal Year Alignment</w:t></w:r><w:r><w:rPr><w:color w:val="333333"/><w:sz w:val="22"/><w:szCs w:val="22"/></w:rPr><w:t xml:space="preserve">Kenyan Fiscal Year Alignment</w:t></w:r><w:r><w:rPr><w:color w:val="333333"/><w:sz w:val="22"/><w:szCs w:val="22"/></w:rPr><w:t xml:space="preserve">: Financial year management follows the July-June Kenyan fiscal year cycle, ensuring that governance reporting, planning, and audit alignment reflect the actual operating calendar of Kenyan institutions.</w:t></w:r></w:p><w:p><w:pPr><w:pStyle w:val="ListBullet"/><w:numPr><w:ilvl w:val="0"/><w:numId w:val="9"/></w:numPr></w:pPr><w:r><w:rPr><w:color w:val="2C3E50"/><w:sz w:val="22"/><w:szCs w:val="22"/><w:b w:val="1"/><w:bCs w:val="1"/></w:rPr><w:t xml:space="preserve">Comprehensive Board Member Profiles</w:t></w:r><w:r><w:rPr><w:color w:val="333333"/><w:sz w:val="22"/><w:szCs w:val="22"/></w:rPr><w:t xml:space="preserve">Comprehensive Board Member Profiles</w:t></w:r><w:r><w:rPr><w:color w:val="333333"/><w:sz w:val="22"/><w:szCs w:val="22"/></w:rPr><w:t xml:space="preserve">: Board member management captures qualifications, documents, gazette notices, CVs, signature images, and photos with profile completeness scoring -- maintaining the governance record that regulators and auditors expect.</w:t></w:r></w:p><w:p><w:pPr><w:pStyle w:val="Heading3"/></w:pPr><w:bookmarkStart w:id="9" w:name="_Toc9"/><w:r><w:t>Security Benefits (2FA, Audit Trail, Role-Based Access, Controlled Document Access)</w:t></w:r><w:bookmarkEnd w:id="9"/></w:p><w:p><w:pPr><w:pStyle w:val="ListBullet"/><w:numPr><w:ilvl w:val="0"/><w:numId w:val="9"/></w:numPr></w:pPr><w:r><w:rPr><w:color w:val="2C3E50"/><w:sz w:val="22"/><w:szCs w:val="22"/><w:b w:val="1"/><w:bCs w:val="1"/></w:rPr><w:t xml:space="preserve">Granular Permission Management</w:t></w:r><w:r><w:rPr><w:color w:val="333333"/><w:sz w:val="22"/><w:szCs w:val="22"/></w:rPr><w:t xml:space="preserve">Granular Permission Management</w:t></w:r><w:r><w:rPr><w:color w:val="333333"/><w:sz w:val="22"/><w:szCs w:val="22"/></w:rPr><w:t xml:space="preserve">: The Spatie-based permission system provides grouped permission management across 10 defined system roles, ensuring that users access only the functions and data appropriate to their role.</w:t></w:r></w:p><w:p><w:pPr><w:pStyle w:val="ListBullet"/><w:numPr><w:ilvl w:val="0"/><w:numId w:val="9"/></w:numPr></w:pPr><w:r><w:rPr><w:color w:val="2C3E50"/><w:sz w:val="22"/><w:szCs w:val="22"/><w:b w:val="1"/><w:bCs w:val="1"/></w:rPr><w:t xml:space="preserve">OTP-Based Two-Factor Authentication</w:t></w:r><w:r><w:rPr><w:color w:val="333333"/><w:sz w:val="22"/><w:szCs w:val="22"/></w:rPr><w:t xml:space="preserve">OTP-Based Two-Factor Authentication</w:t></w:r><w:r><w:rPr><w:color w:val="333333"/><w:sz w:val="22"/><w:szCs w:val="22"/></w:rPr><w:t xml:space="preserve">: Six-digit email-based OTP codes with 5-minute expiry and throttling provide a second layer of identity verification for sensitive operations, including conflict of interest declarations and meeting attendance.</w:t></w:r></w:p><w:p><w:pPr><w:pStyle w:val="ListBullet"/><w:numPr><w:ilvl w:val="0"/><w:numId w:val="9"/></w:numPr></w:pPr><w:r><w:rPr><w:color w:val="2C3E50"/><w:sz w:val="22"/><w:szCs w:val="22"/><w:b w:val="1"/><w:bCs w:val="1"/></w:rPr><w:t xml:space="preserve">Account Security Controls</w:t></w:r><w:r><w:rPr><w:color w:val="333333"/><w:sz w:val="22"/><w:szCs w:val="22"/></w:rPr><w:t xml:space="preserve">Account Security Controls</w:t></w:r><w:r><w:rPr><w:color w:val="333333"/><w:sz w:val="22"/><w:szCs w:val="22"/></w:rPr><w:t xml:space="preserve">: Automatic account lockout after failed login attempts, forced password change policies, and user status enforcement protect against unauthorized access.</w:t></w:r></w:p><w:p><w:pPr><w:pStyle w:val="ListBullet"/><w:numPr><w:ilvl w:val="0"/><w:numId w:val="9"/></w:numPr></w:pPr><w:r><w:rPr><w:color w:val="2C3E50"/><w:sz w:val="22"/><w:szCs w:val="22"/><w:b w:val="1"/><w:bCs w:val="1"/></w:rPr><w:t xml:space="preserve">Document Access Control</w:t></w:r><w:r><w:rPr><w:color w:val="333333"/><w:sz w:val="22"/><w:szCs w:val="22"/></w:rPr><w:t xml:space="preserve">Document Access Control</w:t></w:r><w:r><w:rPr><w:color w:val="333333"/><w:sz w:val="22"/><w:szCs w:val="22"/></w:rPr><w:t xml:space="preserve">: The document repository enforces three visibility levels -- all members, committee-specific, or specific named members -- with download tracking that creates a record of who accessed what and when.</w:t></w:r></w:p><w:p><w:pPr><w:pStyle w:val="ListBullet"/><w:numPr><w:ilvl w:val="0"/><w:numId w:val="9"/></w:numPr></w:pPr><w:r><w:rPr><w:color w:val="2C3E50"/><w:sz w:val="22"/><w:szCs w:val="22"/><w:b w:val="1"/><w:bCs w:val="1"/></w:rPr><w:t xml:space="preserve">Comprehensive Audit Trail</w:t></w:r><w:r><w:rPr><w:color w:val="333333"/><w:sz w:val="22"/><w:szCs w:val="22"/></w:rPr><w:t xml:space="preserve">Comprehensive Audit Trail</w:t></w:r><w:r><w:rPr><w:color w:val="333333"/><w:sz w:val="22"/><w:szCs w:val="22"/></w:rPr><w:t xml:space="preserve">: Every INSERT, UPDATE, and DELETE operation is automatically logged with old and new values, IP address, user agent, and timestamp -- providing a forensic-grade record of all system activity that can be filtered, viewed, and exported as PDF.</w:t></w:r></w:p><w:p><w:pPr><w:pStyle w:val="ListBullet"/><w:numPr><w:ilvl w:val="0"/><w:numId w:val="9"/></w:numPr></w:pPr><w:r><w:rPr><w:color w:val="2C3E50"/><w:sz w:val="22"/><w:szCs w:val="22"/><w:b w:val="1"/><w:bCs w:val="1"/></w:rPr><w:t xml:space="preserve">Digital Signature Verification</w:t></w:r><w:r><w:rPr><w:color w:val="333333"/><w:sz w:val="22"/><w:szCs w:val="22"/></w:rPr><w:t xml:space="preserve">Digital Signature Verification</w:t></w:r><w:r><w:rPr><w:color w:val="333333"/><w:sz w:val="22"/><w:szCs w:val="22"/></w:rPr><w:t xml:space="preserve">: The signature pad and PDF signing capabilities ensure that attendance records, conflict declarations, and other governance documents carry verifiable digital signatures rather than relying on physical signatures that can be disputed.</w:t></w:r></w:p><w:p><w:pPr><w:pStyle w:val="Heading3"/></w:pPr><w:bookmarkStart w:id="10" w:name="_Toc10"/><w:r><w:t>Efficiency Benefits (Centralized Platform, Reduced Email, Faster Preparation)</w:t></w:r><w:bookmarkEnd w:id="10"/></w:p><w:p><w:pPr><w:pStyle w:val="ListBullet"/><w:numPr><w:ilvl w:val="0"/><w:numId w:val="9"/></w:numPr></w:pPr><w:r><w:rPr><w:color w:val="2C3E50"/><w:sz w:val="22"/><w:szCs w:val="22"/><w:b w:val="1"/><w:bCs w:val="1"/></w:rPr><w:t xml:space="preserve">Elimination of Paper-Based Processes</w:t></w:r><w:r><w:rPr><w:color w:val="333333"/><w:sz w:val="22"/><w:szCs w:val="22"/></w:rPr><w:t xml:space="preserve">Elimination of Paper-Based Processes</w:t></w:r><w:r><w:rPr><w:color w:val="333333"/><w:sz w:val="22"/><w:szCs w:val="22"/></w:rPr><w:t xml:space="preserve">: Board papers, notices, attendance registers, conflict declarations, and meeting materials are all managed digitally, eliminating printing, physical distribution, and manual filing costs.</w:t></w:r></w:p><w:p><w:pPr><w:pStyle w:val="ListBullet"/><w:numPr><w:ilvl w:val="0"/><w:numId w:val="9"/></w:numPr></w:pPr><w:r><w:rPr><w:color w:val="2C3E50"/><w:sz w:val="22"/><w:szCs w:val="22"/><w:b w:val="1"/><w:bCs w:val="1"/></w:rPr><w:t xml:space="preserve">Automated Workflow Notifications</w:t></w:r><w:r><w:rPr><w:color w:val="333333"/><w:sz w:val="22"/><w:szCs w:val="22"/></w:rPr><w:t xml:space="preserve">Automated Workflow Notifications</w:t></w:r><w:r><w:rPr><w:color w:val="333333"/><w:sz w:val="22"/><w:szCs w:val="22"/></w:rPr><w:t xml:space="preserve">: The email system with 7 mailables and 33+ templates generates automatic notifications at each stage of the governance workflow, eliminating the need for manual follow-up communications.</w:t></w:r></w:p><w:p><w:pPr><w:pStyle w:val="ListBullet"/><w:numPr><w:ilvl w:val="0"/><w:numId w:val="9"/></w:numPr></w:pPr><w:r><w:rPr><w:color w:val="2C3E50"/><w:sz w:val="22"/><w:szCs w:val="22"/><w:b w:val="1"/><w:bCs w:val="1"/></w:rPr><w:t xml:space="preserve">One-Click PDF Generation</w:t></w:r><w:r><w:rPr><w:color w:val="333333"/><w:sz w:val="22"/><w:szCs w:val="22"/></w:rPr><w:t xml:space="preserve">One-Click PDF Generation</w:t></w:r><w:r><w:rPr><w:color w:val="333333"/><w:sz w:val="22"/><w:szCs w:val="22"/></w:rPr><w:t xml:space="preserve">: Almanacs, notices, attendance registers, conflict registers, board papers, and audit logs can be generated as PDFs directly from the platform, replacing manual document formatting and compilation.</w:t></w:r></w:p><w:p><w:pPr><w:pStyle w:val="ListBullet"/><w:numPr><w:ilvl w:val="0"/><w:numId w:val="9"/></w:numPr></w:pPr><w:r><w:rPr><w:color w:val="2C3E50"/><w:sz w:val="22"/><w:szCs w:val="22"/><w:b w:val="1"/><w:bCs w:val="1"/></w:rPr><w:t xml:space="preserve">6-Step Setup Wizard</w:t></w:r><w:r><w:rPr><w:color w:val="333333"/><w:sz w:val="22"/><w:szCs w:val="22"/></w:rPr><w:t xml:space="preserve">6-Step Setup Wizard</w:t></w:r><w:r><w:rPr><w:color w:val="333333"/><w:sz w:val="22"/><w:szCs w:val="22"/></w:rPr><w:t xml:space="preserve">: New institutions are onboarded through a guided 6-step wizard covering institution identity, branding, workflow configuration, role labels, email setup, and administrator creation -- reducing deployment time and ensuring consistent configuration.</w:t></w:r></w:p><w:p><w:pPr><w:pStyle w:val="ListBullet"/><w:numPr><w:ilvl w:val="0"/><w:numId w:val="9"/></w:numPr></w:pPr><w:r><w:rPr><w:color w:val="2C3E50"/><w:sz w:val="22"/><w:szCs w:val="22"/><w:b w:val="1"/><w:bCs w:val="1"/></w:rPr><w:t xml:space="preserve">Full White-Label Branding</w:t></w:r><w:r><w:rPr><w:color w:val="333333"/><w:sz w:val="22"/><w:szCs w:val="22"/></w:rPr><w:t xml:space="preserve">Full White-Label Branding</w:t></w:r><w:r><w:rPr><w:color w:val="333333"/><w:sz w:val="22"/><w:szCs w:val="22"/></w:rPr><w:t xml:space="preserve">: Each institution configures its own logos, colors, favicon, CEO signature, letterhead, and login background through the platform, eliminating the need for custom development to reflect institutional identity.</w:t></w:r></w:p><w:p><w:pPr><w:pStyle w:val="ListBullet"/><w:numPr><w:ilvl w:val="0"/><w:numId w:val="9"/></w:numPr></w:pPr><w:r><w:rPr><w:color w:val="2C3E50"/><w:sz w:val="22"/><w:szCs w:val="22"/><w:b w:val="1"/><w:bCs w:val="1"/></w:rPr><w:t xml:space="preserve">In-App Notification System</w:t></w:r><w:r><w:rPr><w:color w:val="333333"/><w:sz w:val="22"/><w:szCs w:val="22"/></w:rPr><w:t xml:space="preserve">In-App Notification System</w:t></w:r><w:r><w:rPr><w:color w:val="333333"/><w:sz w:val="22"/><w:szCs w:val="22"/></w:rPr><w:t xml:space="preserve">: Per-user notifications with read/unread tracking, role-scoped delivery, sidebar badges, and filtering ensure that governance participants are informed of pending actions without relying on external communication channels.</w:t></w:r></w:p><w:p><w:pPr><w:pStyle w:val="Heading3"/></w:pPr><w:bookmarkStart w:id="11" w:name="_Toc11"/><w:r><w:t>Accountability Benefits (Resolution Tracking, Audit Trail, Assigned Responsibilities)</w:t></w:r><w:bookmarkEnd w:id="11"/></w:p><w:p><w:pPr><w:pStyle w:val="ListBullet"/><w:numPr><w:ilvl w:val="0"/><w:numId w:val="9"/></w:numPr></w:pPr><w:r><w:rPr><w:color w:val="2C3E50"/><w:sz w:val="22"/><w:szCs w:val="22"/><w:b w:val="1"/><w:bCs w:val="1"/></w:rPr><w:t xml:space="preserve">Resolution Assignment and Tracking</w:t></w:r><w:r><w:rPr><w:color w:val="333333"/><w:sz w:val="22"/><w:szCs w:val="22"/></w:rPr><w:t xml:space="preserve">Resolution Assignment and Tracking</w:t></w:r><w:r><w:rPr><w:color w:val="333333"/><w:sz w:val="22"/><w:szCs w:val="22"/></w:rPr><w:t xml:space="preserve">: Every board resolution is assigned to a specific officer with a defined due date and tracked through status stages (pending, in progress, completed, overdue) -- creating a clear chain of responsibility from decision to implementation.</w:t></w:r></w:p><w:p><w:pPr><w:pStyle w:val="ListBullet"/><w:numPr><w:ilvl w:val="0"/><w:numId w:val="9"/></w:numPr></w:pPr><w:r><w:rPr><w:color w:val="2C3E50"/><w:sz w:val="22"/><w:szCs w:val="22"/><w:b w:val="1"/><w:bCs w:val="1"/></w:rPr><w:t xml:space="preserve">Meeting Attendance Verification</w:t></w:r><w:r><w:rPr><w:color w:val="333333"/><w:sz w:val="22"/><w:szCs w:val="22"/></w:rPr><w:t xml:space="preserve">Meeting Attendance Verification</w:t></w:r><w:r><w:rPr><w:color w:val="333333"/><w:sz w:val="22"/><w:szCs w:val="22"/></w:rPr><w:t xml:space="preserve">: Attendance is captured through OTP verification and digital signature at the meeting level, providing an irrefutable record of who was present for each board deliberation and decision.</w:t></w:r></w:p><w:p><w:pPr><w:pStyle w:val="ListBullet"/><w:numPr><w:ilvl w:val="0"/><w:numId w:val="9"/></w:numPr></w:pPr><w:r><w:rPr><w:color w:val="2C3E50"/><w:sz w:val="22"/><w:szCs w:val="22"/><w:b w:val="1"/><w:bCs w:val="1"/></w:rPr><w:t xml:space="preserve">Security Event Logging</w:t></w:r><w:r><w:rPr><w:color w:val="333333"/><w:sz w:val="22"/><w:szCs w:val="22"/></w:rPr><w:t xml:space="preserve">Security Event Logging</w:t></w:r><w:r><w:rPr><w:color w:val="333333"/><w:sz w:val="22"/><w:szCs w:val="22"/></w:rPr><w:t xml:space="preserve">: Beyond operational audit trails, the platform logs security events -- login attempts, access failures, and authentication activities -- providing visibility into potential unauthorized access attempts.</w:t></w:r></w:p><w:p><w:pPr><w:pStyle w:val="ListBullet"/><w:numPr><w:ilvl w:val="0"/><w:numId w:val="9"/></w:numPr></w:pPr><w:r><w:rPr><w:color w:val="2C3E50"/><w:sz w:val="22"/><w:szCs w:val="22"/><w:b w:val="1"/><w:bCs w:val="1"/></w:rPr><w:t xml:space="preserve">Document Download Tracking</w:t></w:r><w:r><w:rPr><w:color w:val="333333"/><w:sz w:val="22"/><w:szCs w:val="22"/></w:rPr><w:t xml:space="preserve">Document Download Tracking</w:t></w:r><w:r><w:rPr><w:color w:val="333333"/><w:sz w:val="22"/><w:szCs w:val="22"/></w:rPr><w:t xml:space="preserve">: Every document download from the repository is tracked, creating a record that demonstrates which governance participants accessed specific materials and when -- supporting accountability for informed decision-making.</w:t></w:r></w:p><w:p><w:pPr><w:pStyle w:val="ListBullet"/><w:numPr><w:ilvl w:val="0"/><w:numId w:val="9"/></w:numPr></w:pPr><w:r><w:rPr><w:color w:val="2C3E50"/><w:sz w:val="22"/><w:szCs w:val="22"/><w:b w:val="1"/><w:bCs w:val="1"/></w:rPr><w:t xml:space="preserve">Board Paper Version History</w:t></w:r><w:r><w:rPr><w:color w:val="333333"/><w:sz w:val="22"/><w:szCs w:val="22"/></w:rPr><w:t xml:space="preserve">Board Paper Version History</w:t></w:r><w:r><w:rPr><w:color w:val="333333"/><w:sz w:val="22"/><w:szCs w:val="22"/></w:rPr><w:t xml:space="preserve">: The versioning system for board papers maintains a complete history of revisions, ensuring that the evolution of proposals and recommendations is documented and that the final version presented to the board is verifiable.</w:t></w:r></w:p><w:p><w:pPr><w:pStyle w:val="ListBullet"/><w:numPr><w:ilvl w:val="0"/><w:numId w:val="9"/></w:numPr></w:pPr><w:r><w:rPr><w:color w:val="2C3E50"/><w:sz w:val="22"/><w:szCs w:val="22"/><w:b w:val="1"/><w:bCs w:val="1"/></w:rPr><w:t xml:space="preserve">Meeting-Scoped Audit Trail</w:t></w:r><w:r><w:rPr><w:color w:val="333333"/><w:sz w:val="22"/><w:szCs w:val="22"/></w:rPr><w:t xml:space="preserve">Meeting-Scoped Audit Trail</w:t></w:r><w:r><w:rPr><w:color w:val="333333"/><w:sz w:val="22"/><w:szCs w:val="22"/></w:rPr><w:t xml:space="preserve">: The V2 audit system provides meeting-specific audit views, enabling institutions to produce a complete record of all system activity related to a specific board meeting -- from paper preparation through minutes capture.</w:t></w:r></w:p><w:p><w:pPr><w:pStyle w:val="Heading1"/></w:pPr><w:bookmarkStart w:id="12" w:name="_Toc12"/><w:r><w:t>Section 5: Five Major Value Propositions</w:t></w:r><w:bookmarkEnd w:id="12"/></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Heading3"/></w:pPr><w:bookmarkStart w:id="13" w:name="_Toc13"/><w:r><w:t>Value Proposition 1: Complete Governance Lifecycle in a Single Platform</w:t></w:r><w:bookmarkEnd w:id="13"/></w:p><w:p><w:pPr><w:pStyle w:val="Normal"/></w:pPr><w:r><w:rPr><w:color w:val="2C3E50"/><w:sz w:val="22"/><w:szCs w:val="22"/><w:b w:val="1"/><w:bCs w:val="1"/></w:rPr><w:t xml:space="preserve">Every stage of board governance -- from annual planning to resolution tracking -- managed in one secure, integrated environment.</w:t></w:r><w:r><w:rPr><w:color w:val="333333"/><w:sz w:val="22"/><w:szCs w:val="22"/></w:rPr><w:t xml:space="preserve">Every stage of board governance -- from annual planning to resolution tracking -- managed in one secure, integrated environment.</w:t></w:r></w:p><w:p><w:pPr><w:pStyle w:val="Normal"/></w:pPr><w:r><w:rPr><w:color w:val="333333"/><w:sz w:val="22"/><w:szCs w:val="22"/></w:rPr><w:t xml:space="preserve">E-Board is not a document management tool or a meeting scheduler adapted for governance use. It is a purpose-built platform that manages the complete board governance lifecycle through a structured 10-stage meeting workflow. From the moment an institution plans its annual meeting calendar through the almanac system, to the final capture of minutes and tracking of resolutions to completion, every governance activity occurs within a single, coherent platform.</w:t></w:r></w:p><w:p><w:pPr><w:pStyle w:val="Normal"/></w:pPr><w:r><w:rPr><w:color w:val="333333"/><w:sz w:val="22"/><w:szCs w:val="22"/></w:rPr><w:t xml:space="preserve">Proof Points:</w:t></w:r></w:p><w:p><w:pPr><w:pStyle w:val="ListBullet"/><w:numPr><w:ilvl w:val="0"/><w:numId w:val="8"/></w:numPr></w:pPr><w:r><w:rPr><w:color w:val="333333"/><w:sz w:val="22"/><w:szCs w:val="22"/></w:rPr><w:t xml:space="preserve">10-stage meeting workflow covering initiation, notice creation and approval, paper preparation and multi-stage review, agenda building, live meeting conduct, and minutes capture</w:t></w:r></w:p><w:p><w:pPr><w:pStyle w:val="ListBullet"/><w:numPr><w:ilvl w:val="0"/><w:numId w:val="8"/></w:numPr></w:pPr><w:r><w:rPr><w:color w:val="333333"/><w:sz w:val="22"/><w:szCs w:val="22"/></w:rPr><w:t xml:space="preserve">Almanac management with CEO approval workflow, PDF generation, versioning, and signed document upload for annual governance planning</w:t></w:r></w:p><w:p><w:pPr><w:pStyle w:val="ListBullet"/><w:numPr><w:ilvl w:val="0"/><w:numId w:val="8"/></w:numPr></w:pPr><w:r><w:rPr><w:color w:val="333333"/><w:sz w:val="22"/><w:szCs w:val="22"/></w:rPr><w:t xml:space="preserve">Board resolution tracking with officer assignment, due dates, and status monitoring (pending, in progress, completed, overdue)</w:t></w:r></w:p><w:p><w:pPr><w:pStyle w:val="ListBullet"/><w:numPr><w:ilvl w:val="0"/><w:numId w:val="8"/></w:numPr></w:pPr><w:r><w:rPr><w:color w:val="333333"/><w:sz w:val="22"/><w:szCs w:val="22"/></w:rPr><w:t xml:space="preserve">Role-based dashboards with pending action widgets ensuring every participant sees their governance responsibilities</w:t></w:r></w:p><w:p><w:pPr><w:pStyle w:val="Heading3"/></w:pPr><w:bookmarkStart w:id="14" w:name="_Toc14"/><w:r><w:t>Value Proposition 2: Compliance Built Into Every Workflow</w:t></w:r><w:bookmarkEnd w:id="14"/></w:p><w:p><w:pPr><w:pStyle w:val="Normal"/></w:pPr><w:r><w:rPr><w:color w:val="2C3E50"/><w:sz w:val="22"/><w:szCs w:val="22"/><w:b w:val="1"/><w:bCs w:val="1"/></w:rPr><w:t xml:space="preserve">Regulatory and governance requirements are not checklists to complete after the fact -- they are embedded in the platform's operational logic.</w:t></w:r><w:r><w:rPr><w:color w:val="333333"/><w:sz w:val="22"/><w:szCs w:val="22"/></w:rPr><w:t xml:space="preserve">Regulatory and governance requirements are not checklists to complete after the fact -- they are embedded in the platform's operational logic.</w:t></w:r></w:p><w:p><w:pPr><w:pStyle w:val="Normal"/></w:pPr><w:r><w:rPr><w:color w:val="333333"/><w:sz w:val="22"/><w:szCs w:val="22"/></w:rPr><w:t xml:space="preserve">Kenyan governance regulations impose specific requirements on institutions: advance notice periods for board meetings, documented conflict of interest management, verifiable meeting attendance, and comprehensive record-keeping. E-Board embeds these requirements directly into its workflows. The 10-day advance notice requirement is enforced through the board notice system with CEO approval. Conflict of interest declarations are captured with OTP verification and digital signatures. Attendance is verified, not merely recorded. The platform transforms compliance from a burden into a byproduct of normal operations.</w:t></w:r></w:p><w:p><w:pPr><w:pStyle w:val="Normal"/></w:pPr><w:r><w:rPr><w:color w:val="333333"/><w:sz w:val="22"/><w:szCs w:val="22"/></w:rPr><w:t xml:space="preserve">Proof Points:</w:t></w:r></w:p><w:p><w:pPr><w:pStyle w:val="ListBullet"/><w:numPr><w:ilvl w:val="0"/><w:numId w:val="8"/></w:numPr></w:pPr><w:r><w:rPr><w:color w:val="333333"/><w:sz w:val="22"/><w:szCs w:val="22"/></w:rPr><w:t xml:space="preserve">Board notices enforce 10-day advance notice requirements with CEO approval workflow and email distribution</w:t></w:r></w:p><w:p><w:pPr><w:pStyle w:val="ListBullet"/><w:numPr><w:ilvl w:val="0"/><w:numId w:val="8"/></w:numPr></w:pPr><w:r><w:rPr><w:color w:val="333333"/><w:sz w:val="22"/><w:szCs w:val="22"/></w:rPr><w:t xml:space="preserve">Conflict of interest declarations with OTP verification, digital signature, and register export (PDF/CSV)</w:t></w:r></w:p><w:p><w:pPr><w:pStyle w:val="ListBullet"/><w:numPr><w:ilvl w:val="0"/><w:numId w:val="8"/></w:numPr></w:pPr><w:r><w:rPr><w:color w:val="333333"/><w:sz w:val="22"/><w:szCs w:val="22"/></w:rPr><w:t xml:space="preserve">Financial year management aligned to the Kenyan July-June fiscal cycle</w:t></w:r></w:p><w:p><w:pPr><w:pStyle w:val="ListBullet"/><w:numPr><w:ilvl w:val="0"/><w:numId w:val="8"/></w:numPr></w:pPr><w:r><w:rPr><w:color w:val="333333"/><w:sz w:val="22"/><w:szCs w:val="22"/></w:rPr><w:t xml:space="preserve">47 Kenyan counties pre-loaded for institutional configuration</w:t></w:r></w:p><w:p><w:pPr><w:pStyle w:val="Heading3"/></w:pPr><w:bookmarkStart w:id="15" w:name="_Toc15"/><w:r><w:t>Value Proposition 3: Forensic-Grade Accountability and Audit Readiness</w:t></w:r><w:bookmarkEnd w:id="15"/></w:p><w:p><w:pPr><w:pStyle w:val="Normal"/></w:pPr><w:r><w:rPr><w:color w:val="2C3E50"/><w:sz w:val="22"/><w:szCs w:val="22"/><w:b w:val="1"/><w:bCs w:val="1"/></w:rPr><w:t xml:space="preserve">Every action, every change, every access event is logged, timestamped, and attributable -- creating an audit trail that withstands scrutiny.</w:t></w:r><w:r><w:rPr><w:color w:val="333333"/><w:sz w:val="22"/><w:szCs w:val="22"/></w:rPr><w:t xml:space="preserve">Every action, every change, every access event is logged, timestamped, and attributable -- creating an audit trail that withstands scrutiny.</w:t></w:r></w:p><w:p><w:pPr><w:pStyle w:val="Normal"/></w:pPr><w:r><w:rPr><w:color w:val="333333"/><w:sz w:val="22"/><w:szCs w:val="22"/></w:rPr><w:t xml:space="preserve">Governance accountability requires more than good intentions -- it requires evidence. E-Board's comprehensive audit trail automatically logs every INSERT, UPDATE, and DELETE operation with old and new values, the IP address and user agent of the person who made the change, and a precise timestamp. Security events are logged separately. Document downloads are tracked. Meeting attendance is verified through OTP and digital signature. The result is an institution that can demonstrate, with forensic precision, the integrity of its governance processes to auditors, regulators, and stakeholders.</w:t></w:r></w:p><w:p><w:pPr><w:pStyle w:val="Normal"/></w:pPr><w:r><w:rPr><w:color w:val="333333"/><w:sz w:val="22"/><w:szCs w:val="22"/></w:rPr><w:t xml:space="preserve">Proof Points:</w:t></w:r></w:p><w:p><w:pPr><w:pStyle w:val="ListBullet"/><w:numPr><w:ilvl w:val="0"/><w:numId w:val="8"/></w:numPr></w:pPr><w:r><w:rPr><w:color w:val="333333"/><w:sz w:val="22"/><w:szCs w:val="22"/></w:rPr><w:t xml:space="preserve">Automatic audit logging of all data changes with old/new values, IP address, user agent, and timestamp</w:t></w:r></w:p><w:p><w:pPr><w:pStyle w:val="ListBullet"/><w:numPr><w:ilvl w:val="0"/><w:numId w:val="8"/></w:numPr></w:pPr><w:r><w:rPr><w:color w:val="333333"/><w:sz w:val="22"/><w:szCs w:val="22"/></w:rPr><w:t xml:space="preserve">Security event logging for authentication and access control activities</w:t></w:r></w:p><w:p><w:pPr><w:pStyle w:val="ListBullet"/><w:numPr><w:ilvl w:val="0"/><w:numId w:val="8"/></w:numPr></w:pPr><w:r><w:rPr><w:color w:val="333333"/><w:sz w:val="22"/><w:szCs w:val="22"/></w:rPr><w:t xml:space="preserve">Meeting-scoped V2 audit trail providing complete activity records for individual board meetings</w:t></w:r></w:p><w:p><w:pPr><w:pStyle w:val="ListBullet"/><w:numPr><w:ilvl w:val="0"/><w:numId w:val="8"/></w:numPr></w:pPr><w:r><w:rPr><w:color w:val="333333"/><w:sz w:val="22"/><w:szCs w:val="22"/></w:rPr><w:t xml:space="preserve">PDF export of audit logs for external reporting and regulatory submission</w:t></w:r></w:p><w:p><w:pPr><w:pStyle w:val="Heading3"/></w:pPr><w:bookmarkStart w:id="16" w:name="_Toc16"/><w:r><w:t>Value Proposition 4: Institutional Identity and Professional Presentation</w:t></w:r><w:bookmarkEnd w:id="16"/></w:p><w:p><w:pPr><w:pStyle w:val="Normal"/></w:pPr><w:r><w:rPr><w:color w:val="2C3E50"/><w:sz w:val="22"/><w:szCs w:val="22"/><w:b w:val="1"/><w:bCs w:val="1"/></w:rPr><w:t xml:space="preserve">Every institution presents its own brand, its own identity, and its own governance documents -- not a generic platform interface.</w:t></w:r><w:r><w:rPr><w:color w:val="333333"/><w:sz w:val="22"/><w:szCs w:val="22"/></w:rPr><w:t xml:space="preserve">Every institution presents its own brand, its own identity, and its own governance documents -- not a generic platform interface.</w:t></w:r></w:p><w:p><w:pPr><w:pStyle w:val="Normal"/></w:pPr><w:r><w:rPr><w:color w:val="333333"/><w:sz w:val="22"/><w:szCs w:val="22"/></w:rPr><w:t xml:space="preserve">E-Board recognizes that institutional credibility is inseparable from institutional identity. The platform's full white-label branding capability allows every institution to present a governance environment that reflects its own brand -- from the login screen to the letterhead on generated documents. Board member profiles with photos, qualifications, gazette notices, and CVs project professionalism. Generated PDFs -- notices, almanacs, attendance registers, conflict registers -- carry the institution's own branding. The landing page management system enables institutions to present their governance credentials to the public.</w:t></w:r></w:p><w:p><w:pPr><w:pStyle w:val="Normal"/></w:pPr><w:r><w:rPr><w:color w:val="333333"/><w:sz w:val="22"/><w:szCs w:val="22"/></w:rPr><w:t xml:space="preserve">Proof Points:</w:t></w:r></w:p><w:p><w:pPr><w:pStyle w:val="ListBullet"/><w:numPr><w:ilvl w:val="0"/><w:numId w:val="8"/></w:numPr></w:pPr><w:r><w:rPr><w:color w:val="333333"/><w:sz w:val="22"/><w:szCs w:val="22"/></w:rPr><w:t xml:space="preserve">Full white-label branding: logos, colors, favicon, CEO signature, letterhead, and login background</w:t></w:r></w:p><w:p><w:pPr><w:pStyle w:val="ListBullet"/><w:numPr><w:ilvl w:val="0"/><w:numId w:val="8"/></w:numPr></w:pPr><w:r><w:rPr><w:color w:val="333333"/><w:sz w:val="22"/><w:szCs w:val="22"/></w:rPr><w:t xml:space="preserve">Board member profiles with photos, qualifications, CVs, gazette notices, signature images, and profile completeness scoring</w:t></w:r></w:p><w:p><w:pPr><w:pStyle w:val="ListBullet"/><w:numPr><w:ilvl w:val="0"/><w:numId w:val="8"/></w:numPr></w:pPr><w:r><w:rPr><w:color w:val="333333"/><w:sz w:val="22"/><w:szCs w:val="22"/></w:rPr><w:t xml:space="preserve">PDF generation for almanacs, notices, attendance registers, conflict registers, and board papers with institutional branding</w:t></w:r></w:p><w:p><w:pPr><w:pStyle w:val="ListBullet"/><w:numPr><w:ilvl w:val="0"/><w:numId w:val="8"/></w:numPr></w:pPr><w:r><w:rPr><w:color w:val="333333"/><w:sz w:val="22"/><w:szCs w:val="22"/></w:rPr><w:t xml:space="preserve">Landing page management with hero carousel, features section, board member showcase, and call-to-action</w:t></w:r></w:p><w:p><w:pPr><w:pStyle w:val="Heading3"/></w:pPr><w:bookmarkStart w:id="17" w:name="_Toc17"/><w:r><w:t>Value Proposition 5: Enterprise Security Without Enterprise Complexity</w:t></w:r><w:bookmarkEnd w:id="17"/></w:p><w:p><w:pPr><w:pStyle w:val="Normal"/></w:pPr><w:r><w:rPr><w:color w:val="2C3E50"/><w:sz w:val="22"/><w:szCs w:val="22"/><w:b w:val="1"/><w:bCs w:val="1"/></w:rPr><w:t xml:space="preserve">Bank-grade security controls and access management deployed through an intuitive interface that governance professionals can manage without IT dependency.</w:t></w:r><w:r><w:rPr><w:color w:val="333333"/><w:sz w:val="22"/><w:szCs w:val="22"/></w:rPr><w:t xml:space="preserve">Bank-grade security controls and access management deployed through an intuitive interface that governance professionals can manage without IT dependency.</w:t></w:r></w:p><w:p><w:pPr><w:pStyle w:val="Normal"/></w:pPr><w:r><w:rPr><w:color w:val="333333"/><w:sz w:val="22"/><w:szCs w:val="22"/></w:rPr><w:t xml:space="preserve">Security in board governance is non-negotiable -- board papers often contain commercially sensitive information, personnel matters, and strategic decisions that must be protected. E-Board delivers enterprise-grade security through granular role-based permissions across 10 defined system roles, OTP-based two-factor authentication, automatic account lockout, forced password change policies, and three-level document visibility controls. The 6-step setup wizard and grouped permission management ensure that these security capabilities are accessible to administrators without requiring specialized IT expertise.</w:t></w:r></w:p><w:p><w:pPr><w:pStyle w:val="Normal"/></w:pPr><w:r><w:rPr><w:color w:val="333333"/><w:sz w:val="22"/><w:szCs w:val="22"/></w:rPr><w:t xml:space="preserve">Proof Points:</w:t></w:r></w:p><w:p><w:pPr><w:pStyle w:val="ListBullet"/><w:numPr><w:ilvl w:val="0"/><w:numId w:val="8"/></w:numPr></w:pPr><w:r><w:rPr><w:color w:val="333333"/><w:sz w:val="22"/><w:szCs w:val="22"/></w:rPr><w:t xml:space="preserve">10 system roles with granular Spatie-based permissions and grouped permission management</w:t></w:r></w:p><w:p><w:pPr><w:pStyle w:val="ListBullet"/><w:numPr><w:ilvl w:val="0"/><w:numId w:val="8"/></w:numPr></w:pPr><w:r><w:rPr><w:color w:val="333333"/><w:sz w:val="22"/><w:szCs w:val="22"/></w:rPr><w:t xml:space="preserve">OTP-based two-factor authentication with 6-digit email codes, 5-minute expiry, and throttling</w:t></w:r></w:p><w:p><w:pPr><w:pStyle w:val="ListBullet"/><w:numPr><w:ilvl w:val="0"/><w:numId w:val="8"/></w:numPr></w:pPr><w:r><w:rPr><w:color w:val="333333"/><w:sz w:val="22"/><w:szCs w:val="22"/></w:rPr><w:t xml:space="preserve">Account security with lockout after failed attempts, forced password change, and user status enforcement</w:t></w:r></w:p><w:p><w:pPr><w:pStyle w:val="ListBullet"/><w:numPr><w:ilvl w:val="0"/><w:numId w:val="8"/></w:numPr></w:pPr><w:r><w:rPr><w:color w:val="333333"/><w:sz w:val="22"/><w:szCs w:val="22"/></w:rPr><w:t xml:space="preserve">Document repository with three visibility levels (all members, committee-specific, specific members) and download tracking</w:t></w:r></w:p><w:p><w:pPr><w:pStyle w:val="Heading1"/></w:pPr><w:bookmarkStart w:id="18" w:name="_Toc18"/><w:r><w:t>Section 6: Ten Supporting Benefits</w:t></w:r><w:bookmarkEnd w:id="18"/></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Heading3"/></w:pPr><w:bookmarkStart w:id="19" w:name="_Toc19"/><w:r><w:t>Benefit 1: Structured Board Paper Preparation</w:t></w:r><w:bookmarkEnd w:id="19"/></w:p><w:p><w:pPr><w:pStyle w:val="Normal"/></w:pPr><w:r><w:rPr><w:color w:val="333333"/><w:sz w:val="22"/><w:szCs w:val="22"/></w:rPr><w:t xml:space="preserve">Board papers move through a defined multi-stage review process -- from preparing officer to reviewing director to approving CEO -- with version control, annexure management, and status notifications at each stage. This structured approach ensures that papers reaching the board have been properly reviewed, that feedback has been incorporated, and that the review history is documented. The ability to recall papers provides an additional safeguard against premature circulation.</w:t></w:r></w:p><w:p><w:pPr><w:pStyle w:val="Heading3"/></w:pPr><w:bookmarkStart w:id="20" w:name="_Toc20"/><w:r><w:t>Benefit 2: Verified Meeting Attendance</w:t></w:r><w:bookmarkEnd w:id="20"/></w:p><w:p><w:pPr><w:pStyle w:val="Normal"/></w:pPr><w:r><w:rPr><w:color w:val="333333"/><w:sz w:val="22"/><w:szCs w:val="22"/></w:rPr><w:t xml:space="preserve">Meeting attendance is no longer a matter of sign-in sheets that can be misplaced, disputed, or retroactively altered. E-Board captures attendance through OTP verification and digital signature, creating an irrefutable record of which board members and officers were present for each meeting. The attendance register can be exported as PDF or CSV for inclusion in official governance records and audit documentation.</w:t></w:r></w:p><w:p><w:pPr><w:pStyle w:val="Heading3"/></w:pPr><w:bookmarkStart w:id="21" w:name="_Toc21"/><w:r><w:t>Benefit 3: Systematic Conflict of Interest Management</w:t></w:r><w:bookmarkEnd w:id="21"/></w:p><w:p><w:pPr><w:pStyle w:val="Normal"/></w:pPr><w:r><w:rPr><w:color w:val="333333"/><w:sz w:val="22"/><w:szCs w:val="22"/></w:rPr><w:t xml:space="preserve">Conflict of interest declarations are captured through a structured process that includes OTP verification and digital signature, transforming what is often an informal or inconsistent practice into a documented, verifiable governance control. The conflict register can be exported as PDF or CSV, providing institutions with the evidence they need to demonstrate compliant conflict management to regulators and auditors.</w:t></w:r></w:p><w:p><w:pPr><w:pStyle w:val="Heading3"/></w:pPr><w:bookmarkStart w:id="22" w:name="_Toc22"/><w:r><w:t>Benefit 4: Centralized and Controlled Document Access</w:t></w:r><w:bookmarkEnd w:id="22"/></w:p><w:p><w:pPr><w:pStyle w:val="Normal"/></w:pPr><w:r><w:rPr><w:color w:val="333333"/><w:sz w:val="22"/><w:szCs w:val="22"/></w:rPr><w:t xml:space="preserve">The document repository replaces scattered storage across email inboxes, shared drives, and physical filing systems with a single, categorized repository supporting multiple file formats up to 20MB. Three visibility levels -- all members, committee-specific, and specific named members -- ensure that sensitive documents are accessible only to authorized individuals, while download tracking creates an auditable record of document access.</w:t></w:r></w:p><w:p><w:pPr><w:pStyle w:val="Heading3"/></w:pPr><w:bookmarkStart w:id="23" w:name="_Toc23"/><w:r><w:t>Benefit 5: Annual Governance Planning</w:t></w:r><w:bookmarkEnd w:id="23"/></w:p><w:p><w:pPr><w:pStyle w:val="Normal"/></w:pPr><w:r><w:rPr><w:color w:val="333333"/><w:sz w:val="22"/><w:szCs w:val="22"/></w:rPr><w:t xml:space="preserve">The almanac management system enables institutions to plan their full annual meeting schedule at the start of the financial year, subject to CEO approval. The resulting almanac can be generated as a PDF, versioned as changes occur, and the signed final version uploaded for reference. This forward-planning capability transforms governance from a reactive, meeting-by-meeting exercise into a strategic, planned programme of work.</w:t></w:r></w:p><w:p><w:pPr><w:pStyle w:val="Heading3"/></w:pPr><w:bookmarkStart w:id="24" w:name="_Toc24"/><w:r><w:t>Benefit 6: Committee-Based Governance Structure</w:t></w:r><w:bookmarkEnd w:id="24"/></w:p><w:p><w:pPr><w:pStyle w:val="Normal"/></w:pPr><w:r><w:rPr><w:color w:val="333333"/><w:sz w:val="22"/><w:szCs w:val="22"/></w:rPr><w:t xml:space="preserve">E-Board supports the creation and management of board committees with specific audit committee designation, reflecting the governance structures required by Kenyan regulations and international best practice. Committee membership, document visibility, and meeting management operate within the committee structure, ensuring that governance activities are organized according to the institution's actual operating model.</w:t></w:r></w:p><w:p><w:pPr><w:pStyle w:val="Heading3"/></w:pPr><w:bookmarkStart w:id="25" w:name="_Toc25"/><w:r><w:t>Benefit 7: Institutional Branding and Identity</w:t></w:r><w:bookmarkEnd w:id="25"/></w:p><w:p><w:pPr><w:pStyle w:val="Normal"/></w:pPr><w:r><w:rPr><w:color w:val="333333"/><w:sz w:val="22"/><w:szCs w:val="22"/></w:rPr><w:t xml:space="preserve">Every institution using E-Board presents its own identity through comprehensive white-label branding -- logos, organizational colors, favicon, CEO signature block, letterhead design, and login background. Generated documents, notices, and the board portal all reflect the institution's brand, ensuring that the governance platform reinforces rather than dilutes institutional credibility and professionalism.</w:t></w:r></w:p><w:p><w:pPr><w:pStyle w:val="Heading3"/></w:pPr><w:bookmarkStart w:id="26" w:name="_Toc26"/><w:r><w:t>Benefit 8: Actionable Dashboards for Every Role</w:t></w:r><w:bookmarkEnd w:id="26"/></w:p><w:p><w:pPr><w:pStyle w:val="Normal"/></w:pPr><w:r><w:rPr><w:color w:val="333333"/><w:sz w:val="22"/><w:szCs w:val="22"/></w:rPr><w:t xml:space="preserve">Each of the 10 system roles -- from Board Member to Superadmin -- receives a dashboard tailored to their governance responsibilities, featuring pending action widgets that highlight items requiring attention. This role-based approach ensures that governance participants are not overwhelmed with irrelevant information but are instead presented with a clear view of their specific obligations and pending tasks.</w:t></w:r></w:p><w:p><w:pPr><w:pStyle w:val="Heading3"/></w:pPr><w:bookmarkStart w:id="27" w:name="_Toc27"/><w:r><w:t>Benefit 9: Comprehensive Organizational Structure</w:t></w:r><w:bookmarkEnd w:id="27"/></w:p><w:p><w:pPr><w:pStyle w:val="Normal"/></w:pPr><w:r><w:rPr><w:color w:val="333333"/><w:sz w:val="22"/><w:szCs w:val="22"/></w:rPr><w:t xml:space="preserve">E-Board captures the institution's organizational structure through directorates and divisions, reflecting the actual hierarchy through which board papers are prepared, reviewed, and approved. This structural alignment ensures that the platform's workflows mirror the institution's real-world reporting lines, making adoption intuitive and ensuring that accountability follows established organizational channels.</w:t></w:r></w:p><w:p><w:pPr><w:pStyle w:val="Heading3"/></w:pPr><w:bookmarkStart w:id="28" w:name="_Toc28"/><w:r><w:t>Benefit 10: Rapid Deployment and Configuration</w:t></w:r><w:bookmarkEnd w:id="28"/></w:p><w:p><w:pPr><w:pStyle w:val="Normal"/></w:pPr><w:r><w:rPr><w:color w:val="333333"/><w:sz w:val="22"/><w:szCs w:val="22"/></w:rPr><w:t xml:space="preserve">The 6-step setup wizard guides institutions through the complete platform configuration -- institution identity, branding, workflow settings, role labels, email configuration, and administrator creation -- enabling rapid deployment without extensive technical consultation. The platform's pre-loaded support for 47 Kenyan counties and alignment with the July-June fiscal year further reduces configuration effort for Kenyan institutions.</w:t></w:r></w:p><w:p><w:pPr><w:pStyle w:val="Heading1"/></w:pPr><w:bookmarkStart w:id="29" w:name="_Toc29"/><w:r><w:t>Section 7: Ten Short Marketing Statements</w:t></w:r><w:bookmarkEnd w:id="29"/></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Normal"/></w:pPr><w:r><w:rPr><w:color w:val="2C3E50"/><w:sz w:val="22"/><w:szCs w:val="22"/><w:b w:val="1"/><w:bCs w:val="1"/></w:rPr><w:t xml:space="preserve">Statement 1:</w:t></w:r><w:r><w:rPr><w:color w:val="333333"/><w:sz w:val="22"/><w:szCs w:val="22"/></w:rPr><w:t xml:space="preserve">Statement 1:</w:t></w:r><w:r><w:rPr><w:color w:val="333333"/><w:sz w:val="22"/><w:szCs w:val="22"/></w:rPr><w:t xml:space="preserve"> E-Board transforms board governance from a paper-dependent, manually coordinated process into a structured digital workflow where every meeting, every paper, and every resolution is documented, tracked, and verifiable.</w:t></w:r></w:p><w:p><w:pPr><w:pStyle w:val="Normal"/></w:pPr><w:r><w:rPr><w:color w:val="2C3E50"/><w:sz w:val="22"/><w:szCs w:val="22"/><w:b w:val="1"/><w:bCs w:val="1"/></w:rPr><w:t xml:space="preserve">Statement 2:</w:t></w:r><w:r><w:rPr><w:color w:val="333333"/><w:sz w:val="22"/><w:szCs w:val="22"/></w:rPr><w:t xml:space="preserve">Statement 2:</w:t></w:r><w:r><w:rPr><w:color w:val="333333"/><w:sz w:val="22"/><w:szCs w:val="22"/></w:rPr><w:t xml:space="preserve"> With a 10-stage meeting workflow that covers the full lifecycle from initiation to minutes capture, E-Board ensures that no governance step is skipped, no document is lost, and no decision goes unrecorded.</w:t></w:r></w:p><w:p><w:pPr><w:pStyle w:val="Normal"/></w:pPr><w:r><w:rPr><w:color w:val="2C3E50"/><w:sz w:val="22"/><w:szCs w:val="22"/><w:b w:val="1"/><w:bCs w:val="1"/></w:rPr><w:t xml:space="preserve">Statement 3:</w:t></w:r><w:r><w:rPr><w:color w:val="333333"/><w:sz w:val="22"/><w:szCs w:val="22"/></w:rPr><w:t xml:space="preserve">Statement 3:</w:t></w:r><w:r><w:rPr><w:color w:val="333333"/><w:sz w:val="22"/><w:szCs w:val="22"/></w:rPr><w:t xml:space="preserve"> E-Board embeds Kenyan governance requirements -- including 10-day advance notice periods, financial year alignment, and conflict of interest documentation -- directly into its operational workflows, making compliance a natural outcome of daily use.</w:t></w:r></w:p><w:p><w:pPr><w:pStyle w:val="Normal"/></w:pPr><w:r><w:rPr><w:color w:val="2C3E50"/><w:sz w:val="22"/><w:szCs w:val="22"/><w:b w:val="1"/><w:bCs w:val="1"/></w:rPr><w:t xml:space="preserve">Statement 4:</w:t></w:r><w:r><w:rPr><w:color w:val="333333"/><w:sz w:val="22"/><w:szCs w:val="22"/></w:rPr><w:t xml:space="preserve">Statement 4:</w:t></w:r><w:r><w:rPr><w:color w:val="333333"/><w:sz w:val="22"/><w:szCs w:val="22"/></w:rPr><w:t xml:space="preserve"> Every data change in E-Board is automatically logged with the user's identity, IP address, timestamp, and the old and new values -- creating an audit trail that meets the most demanding regulatory and oversight standards.</w:t></w:r></w:p><w:p><w:pPr><w:pStyle w:val="Normal"/></w:pPr><w:r><w:rPr><w:color w:val="2C3E50"/><w:sz w:val="22"/><w:szCs w:val="22"/><w:b w:val="1"/><w:bCs w:val="1"/></w:rPr><w:t xml:space="preserve">Statement 5:</w:t></w:r><w:r><w:rPr><w:color w:val="333333"/><w:sz w:val="22"/><w:szCs w:val="22"/></w:rPr><w:t xml:space="preserve">Statement 5:</w:t></w:r><w:r><w:rPr><w:color w:val="333333"/><w:sz w:val="22"/><w:szCs w:val="22"/></w:rPr><w:t xml:space="preserve"> E-Board's multi-stage board paper review process ensures that every document reaching the board has been prepared, reviewed by the responsible director, and approved by the CEO -- with a complete version history documenting the journey.</w:t></w:r></w:p><w:p><w:pPr><w:pStyle w:val="Normal"/></w:pPr><w:r><w:rPr><w:color w:val="2C3E50"/><w:sz w:val="22"/><w:szCs w:val="22"/><w:b w:val="1"/><w:bCs w:val="1"/></w:rPr><w:t xml:space="preserve">Statement 6:</w:t></w:r><w:r><w:rPr><w:color w:val="333333"/><w:sz w:val="22"/><w:szCs w:val="22"/></w:rPr><w:t xml:space="preserve">Statement 6:</w:t></w:r><w:r><w:rPr><w:color w:val="333333"/><w:sz w:val="22"/><w:szCs w:val="22"/></w:rPr><w:t xml:space="preserve"> Board member attendance is verified through OTP and digital signature, conflict of interest declarations are captured with the same rigour, and both are exportable as certified registers -- accountability that is documented, not merely asserted.</w:t></w:r></w:p><w:p><w:pPr><w:pStyle w:val="Normal"/></w:pPr><w:r><w:rPr><w:color w:val="2C3E50"/><w:sz w:val="22"/><w:szCs w:val="22"/><w:b w:val="1"/><w:bCs w:val="1"/></w:rPr><w:t xml:space="preserve">Statement 7:</w:t></w:r><w:r><w:rPr><w:color w:val="333333"/><w:sz w:val="22"/><w:szCs w:val="22"/></w:rPr><w:t xml:space="preserve">Statement 7:</w:t></w:r><w:r><w:rPr><w:color w:val="333333"/><w:sz w:val="22"/><w:szCs w:val="22"/></w:rPr><w:t xml:space="preserve"> E-Board delivers full white-label branding -- your logo, your colours, your letterhead, your CEO's signature -- ensuring that your governance platform reflects your institutional identity at every touchpoint.</w:t></w:r></w:p><w:p><w:pPr><w:pStyle w:val="Normal"/></w:pPr><w:r><w:rPr><w:color w:val="2C3E50"/><w:sz w:val="22"/><w:szCs w:val="22"/><w:b w:val="1"/><w:bCs w:val="1"/></w:rPr><w:t xml:space="preserve">Statement 8:</w:t></w:r><w:r><w:rPr><w:color w:val="333333"/><w:sz w:val="22"/><w:szCs w:val="22"/></w:rPr><w:t xml:space="preserve">Statement 8:</w:t></w:r><w:r><w:rPr><w:color w:val="333333"/><w:sz w:val="22"/><w:szCs w:val="22"/></w:rPr><w:t xml:space="preserve"> From the annual almanac to individual board resolutions, E-Board connects governance planning to governance execution, ensuring that board decisions are assigned, tracked, and reported through to completion.</w:t></w:r></w:p><w:p><w:pPr><w:pStyle w:val="Normal"/></w:pPr><w:r><w:rPr><w:color w:val="2C3E50"/><w:sz w:val="22"/><w:szCs w:val="22"/><w:b w:val="1"/><w:bCs w:val="1"/></w:rPr><w:t xml:space="preserve">Statement 9:</w:t></w:r><w:r><w:rPr><w:color w:val="333333"/><w:sz w:val="22"/><w:szCs w:val="22"/></w:rPr><w:t xml:space="preserve">Statement 9:</w:t></w:r><w:r><w:rPr><w:color w:val="333333"/><w:sz w:val="22"/><w:szCs w:val="22"/></w:rPr><w:t xml:space="preserve"> With granular role-based permissions across 10 defined system roles, OTP-based two-factor authentication, and automatic account lockout, E-Board protects your most sensitive governance information with enterprise-grade security controls.</w:t></w:r></w:p><w:p><w:pPr><w:pStyle w:val="Normal"/></w:pPr><w:r><w:rPr><w:color w:val="2C3E50"/><w:sz w:val="22"/><w:szCs w:val="22"/><w:b w:val="1"/><w:bCs w:val="1"/></w:rPr><w:t xml:space="preserve">Statement 10:</w:t></w:r><w:r><w:rPr><w:color w:val="333333"/><w:sz w:val="22"/><w:szCs w:val="22"/></w:rPr><w:t xml:space="preserve">Statement 10:</w:t></w:r><w:r><w:rPr><w:color w:val="333333"/><w:sz w:val="22"/><w:szCs w:val="22"/></w:rPr><w:t xml:space="preserve"> E-Board's 6-step setup wizard takes institutions from first login to fully configured governance platform -- complete with branding, roles, email integration, and organizational structure -- in a single guided session.</w:t></w:r></w:p><w:p><w:pPr><w:pStyle w:val="Heading1"/></w:pPr><w:bookmarkStart w:id="30" w:name="_Toc30"/><w:r><w:t>Section 8: Ten LinkedIn-Ready Statements</w:t></w:r><w:bookmarkEnd w:id="30"/></w:p><w:p><w:pPr><w:pStyle w:val="Normal"/></w:pPr><w:r><w:rPr><w:color w:val="2C3E50"/><w:sz w:val="22"/><w:szCs w:val="22"/><w:b w:val="1"/><w:bCs w:val="1"/></w:rPr><w:t xml:space="preserve">[READY TO USE]</w:t></w:r><w:r><w:rPr><w:color w:val="FFFFFF"/><w:sz w:val="16"/><w:szCs w:val="16"/><w:b w:val="1"/><w:bCs w:val="1"/><w:shd w:val="clear" w:fill="27AE60"/></w:rPr><w:t xml:space="preserve"> READY TO USE </w:t></w:r></w:p><w:p><w:pPr><w:pStyle w:val="Normal"/></w:pPr><w:r><w:rPr><w:color w:val="2C3E50"/><w:sz w:val="22"/><w:szCs w:val="22"/><w:b w:val="1"/><w:bCs w:val="1"/></w:rPr><w:t xml:space="preserve">Statement 1:</w:t></w:r><w:r><w:rPr><w:color w:val="333333"/><w:sz w:val="22"/><w:szCs w:val="22"/></w:rPr><w:t xml:space="preserve">Statement 1:</w:t></w:r></w:p><w:p><w:pPr><w:pStyle w:val="Normal"/></w:pPr><w:r><w:rPr><w:color w:val="333333"/><w:sz w:val="22"/><w:szCs w:val="22"/></w:rPr><w:t xml:space="preserve">Governance is not a document problem. It is a workflow problem. When board papers are prepared in isolation, reviewed through email chains, and tracked on spreadsheets, the result is not governance -- it is administration without accountability. E-Board by Losvinca replaces this fragmentation with a structured 10-stage workflow that takes every board meeting from initiation through minutes capture, with a complete audit trail at every stage.</w:t></w:r></w:p><w:p><w:pPr><w:pStyle w:val="Normal"/></w:pPr><w:r><w:rPr><w:color w:val="2C3E50"/><w:sz w:val="22"/><w:szCs w:val="22"/><w:b w:val="1"/><w:bCs w:val="1"/></w:rPr><w:t xml:space="preserve">Statement 2:</w:t></w:r><w:r><w:rPr><w:color w:val="333333"/><w:sz w:val="22"/><w:szCs w:val="22"/></w:rPr><w:t xml:space="preserve">Statement 2:</w:t></w:r></w:p><w:p><w:pPr><w:pStyle w:val="Normal"/></w:pPr><w:r><w:rPr><w:color w:val="333333"/><w:sz w:val="22"/><w:szCs w:val="22"/></w:rPr><w:t xml:space="preserve">The question is no longer whether institutions need digital governance platforms. The question is whether they can afford the risk of operating without one. When the Auditor General cites incomplete meeting records, when a procurement decision is challenged and the board cannot produce a documented deliberation trail, the cost of manual governance becomes painfully visible. E-Board ensures that every decision, every attendance record, and every conflict declaration is documented, verified, and retrievable.</w:t></w:r></w:p><w:p><w:pPr><w:pStyle w:val="Normal"/></w:pPr><w:r><w:rPr><w:color w:val="2C3E50"/><w:sz w:val="22"/><w:szCs w:val="22"/><w:b w:val="1"/><w:bCs w:val="1"/></w:rPr><w:t xml:space="preserve">Statement 3:</w:t></w:r><w:r><w:rPr><w:color w:val="333333"/><w:sz w:val="22"/><w:szCs w:val="22"/></w:rPr><w:t xml:space="preserve">Statement 3:</w:t></w:r></w:p><w:p><w:pPr><w:pStyle w:val="Normal"/></w:pPr><w:r><w:rPr><w:color w:val="333333"/><w:sz w:val="22"/><w:szCs w:val="22"/></w:rPr><w:t xml:space="preserve">Compliance should not require a separate effort. At Losvinca, we built E-Board so that regulatory requirements -- 10-day advance notice for board meetings, conflict of interest declarations, financial year alignment -- are embedded in the workflows that governance teams use every day. When your platform enforces compliance by design, your team can focus on governance quality rather than governance paperwork.</w:t></w:r></w:p><w:p><w:pPr><w:pStyle w:val="Normal"/></w:pPr><w:r><w:rPr><w:color w:val="2C3E50"/><w:sz w:val="22"/><w:szCs w:val="22"/><w:b w:val="1"/><w:bCs w:val="1"/></w:rPr><w:t xml:space="preserve">Statement 4:</w:t></w:r><w:r><w:rPr><w:color w:val="333333"/><w:sz w:val="22"/><w:szCs w:val="22"/></w:rPr><w:t xml:space="preserve">Statement 4:</w:t></w:r></w:p><w:p><w:pPr><w:pStyle w:val="Normal"/></w:pPr><w:r><w:rPr><w:color w:val="333333"/><w:sz w:val="22"/><w:szCs w:val="22"/></w:rPr><w:t xml:space="preserve">An audit trail is only as valuable as its completeness. E-Board automatically logs every data change -- INSERT, UPDATE, DELETE -- with the user's identity, IP address, user agent, timestamp, and both old and new values. No manual logging. No gaps. No reliance on individual discipline. This is what forensic-grade accountability looks like in practice, and it is available to every institution that deploys the platform.</w:t></w:r></w:p><w:p><w:pPr><w:pStyle w:val="Normal"/></w:pPr><w:r><w:rPr><w:color w:val="2C3E50"/><w:sz w:val="22"/><w:szCs w:val="22"/><w:b w:val="1"/><w:bCs w:val="1"/></w:rPr><w:t xml:space="preserve">Statement 5:</w:t></w:r><w:r><w:rPr><w:color w:val="333333"/><w:sz w:val="22"/><w:szCs w:val="22"/></w:rPr><w:t xml:space="preserve">Statement 5:</w:t></w:r></w:p><w:p><w:pPr><w:pStyle w:val="Normal"/></w:pPr><w:r><w:rPr><w:color w:val="333333"/><w:sz w:val="22"/><w:szCs w:val="22"/></w:rPr><w:t xml:space="preserve">Board papers deserve the same quality control as any other critical institutional output. E-Board's multi-stage review workflow moves every paper through preparation, director review, and CEO approval -- with version control, annexure management, sticky note feedback, and the ability to recall papers that need further work. The board receives papers that have been properly vetted, and the institution retains a complete record of the review process.</w:t></w:r></w:p><w:p><w:pPr><w:pStyle w:val="Normal"/></w:pPr><w:r><w:rPr><w:color w:val="2C3E50"/><w:sz w:val="22"/><w:szCs w:val="22"/><w:b w:val="1"/><w:bCs w:val="1"/></w:rPr><w:t xml:space="preserve">Statement 6:</w:t></w:r><w:r><w:rPr><w:color w:val="333333"/><w:sz w:val="22"/><w:szCs w:val="22"/></w:rPr><w:t xml:space="preserve">Statement 6:</w:t></w:r></w:p><w:p><w:pPr><w:pStyle w:val="Normal"/></w:pPr><w:r><w:rPr><w:color w:val="333333"/><w:sz w:val="22"/><w:szCs w:val="22"/></w:rPr><w:t xml:space="preserve">Institutional identity matters in governance. When a board member opens their portal and sees their institution's logo, colours, and branding -- not a generic software interface -- it reinforces the professionalism and credibility of the governance process. E-Board's full white-label capability ensures that every login screen, every generated PDF, and every notice carries the institution's own identity. Governance platforms should serve institutions, not the other way around.</w:t></w:r></w:p><w:p><w:pPr><w:pStyle w:val="Normal"/></w:pPr><w:r><w:rPr><w:color w:val="2C3E50"/><w:sz w:val="22"/><w:szCs w:val="22"/><w:b w:val="1"/><w:bCs w:val="1"/></w:rPr><w:t xml:space="preserve">Statement 7:</w:t></w:r><w:r><w:rPr><w:color w:val="333333"/><w:sz w:val="22"/><w:szCs w:val="22"/></w:rPr><w:t xml:space="preserve">Statement 7:</w:t></w:r></w:p><w:p><w:pPr><w:pStyle w:val="Normal"/></w:pPr><w:r><w:rPr><w:color w:val="333333"/><w:sz w:val="22"/><w:szCs w:val="22"/></w:rPr><w:t xml:space="preserve">Board resolutions without tracking are promises without accountability. E-Board links every resolution to its originating meeting, assigns it to a responsible officer, sets a due date, and tracks its status through pending, in progress, completed, or overdue. Management sees what needs attention. The board sees what has been delivered. Auditors see evidence that governance decisions translate into institutional action.</w:t></w:r></w:p><w:p><w:pPr><w:pStyle w:val="Normal"/></w:pPr><w:r><w:rPr><w:color w:val="2C3E50"/><w:sz w:val="22"/><w:szCs w:val="22"/><w:b w:val="1"/><w:bCs w:val="1"/></w:rPr><w:t xml:space="preserve">Statement 8:</w:t></w:r><w:r><w:rPr><w:color w:val="333333"/><w:sz w:val="22"/><w:szCs w:val="22"/></w:rPr><w:t xml:space="preserve">Statement 8:</w:t></w:r></w:p><w:p><w:pPr><w:pStyle w:val="Normal"/></w:pPr><w:r><w:rPr><w:color w:val="333333"/><w:sz w:val="22"/><w:szCs w:val="22"/></w:rPr><w:t xml:space="preserve">Security in board governance is not optional. Board papers contain commercially sensitive information, personnel decisions, and strategic directions that must be protected. E-Board provides 10 defined system roles with granular permissions, OTP-based two-factor authentication, automatic account lockout, document visibility controls at three levels, and download tracking for every document accessed. Enterprise security, deployed for institutional governance.</w:t></w:r></w:p><w:p><w:pPr><w:pStyle w:val="Normal"/></w:pPr><w:r><w:rPr><w:color w:val="2C3E50"/><w:sz w:val="22"/><w:szCs w:val="22"/><w:b w:val="1"/><w:bCs w:val="1"/></w:rPr><w:t xml:space="preserve">Statement 9:</w:t></w:r><w:r><w:rPr><w:color w:val="333333"/><w:sz w:val="22"/><w:szCs w:val="22"/></w:rPr><w:t xml:space="preserve">Statement 9:</w:t></w:r></w:p><w:p><w:pPr><w:pStyle w:val="Normal"/></w:pPr><w:r><w:rPr><w:color w:val="333333"/><w:sz w:val="22"/><w:szCs w:val="22"/></w:rPr><w:t xml:space="preserve">We designed E-Board for the institutions that need governance platforms most -- government bodies, state corporations, county entities, and public institutions across Kenya and Africa. That is why the platform comes pre-loaded with 47 Kenyan counties, aligns with the July-June fiscal year, enforces statutory notice periods, and structures conflict of interest declarations the way regulators expect to see them. Context-aware governance technology, built by a team that understands the environment.</w:t></w:r></w:p><w:p><w:pPr><w:pStyle w:val="Normal"/></w:pPr><w:r><w:rPr><w:color w:val="2C3E50"/><w:sz w:val="22"/><w:szCs w:val="22"/><w:b w:val="1"/><w:bCs w:val="1"/></w:rPr><w:t xml:space="preserve">Statement 10:</w:t></w:r><w:r><w:rPr><w:color w:val="333333"/><w:sz w:val="22"/><w:szCs w:val="22"/></w:rPr><w:t xml:space="preserve">Statement 10:</w:t></w:r></w:p><w:p><w:pPr><w:pStyle w:val="Normal"/></w:pPr><w:r><w:rPr><w:color w:val="333333"/><w:sz w:val="22"/><w:szCs w:val="22"/></w:rPr><w:t xml:space="preserve">Deploying a governance platform should not require a six-month IT project. E-Board's 6-step setup wizard guides institutions through complete configuration -- institutional identity, branding, workflow settings, role labels, email integration, and administrator creation -- in a single guided session. From first login to fully operational governance platform, the path is clear, structured, and achievable. Losvinca built E-Board to be adopted, not just purchased.</w:t></w:r></w:p><w:p><w:pPr><w:pStyle w:val="Normal"/></w:pPr><w:r><w:rPr><w:color w:val="333333"/><w:sz w:val="22"/><w:szCs w:val="22"/><w:i w:val="1"/><w:iCs w:val="1"/></w:rPr><w:t xml:space="preserve">This document is part of the E-Board Government & Institutional Sales Kit prepared for Losvinca. All capabilities referenced are verified current product features unless explicitly marked otherwise.</w:t></w:r><w:r><w:rPr><w:color w:val="333333"/><w:sz w:val="22"/><w:szCs w:val="22"/></w:rPr><w:t xml:space="preserve">This document is part of the E-Board Government & Institutional Sales Kit prepared for Losvinca. All capabilities referenced are verified current product features unless explicitly marked otherwise.</w:t></w:r></w:p><w:p><w:pPr><w:pStyle w:val="Normal"/></w:pPr><w:r><w:rPr><w:color w:val="333333"/><w:sz w:val="22"/><w:szCs w:val="22"/><w:i w:val="1"/><w:iCs w:val="1"/></w:rPr><w:t xml:space="preserve">Document: Part 4 of the Sales Kit Series -- Core Value Proposition</w:t></w:r><w:r><w:rPr><w:color w:val="333333"/><w:sz w:val="22"/><w:szCs w:val="22"/></w:rPr><w:t xml:space="preserve">Document: Part 4 of the Sales Kit Series -- Core Value Proposition</w:t></w:r></w:p><w:p><w:pPr><w:pStyle w:val="Normal"/></w:pPr><w:r><w:rPr><w:color w:val="333333"/><w:sz w:val="22"/><w:szCs w:val="22"/><w:i w:val="1"/><w:iCs w:val="1"/></w:rPr><w:t xml:space="preserve">Platform: E-Board by Losvinca</w:t></w:r><w:r><w:rPr><w:color w:val="333333"/><w:sz w:val="22"/><w:szCs w:val="22"/></w:rPr><w:t xml:space="preserve">Platform: E-Board by Losvinca</w:t></w:r></w:p><w:p><w:pPr><w:pStyle w:val="Normal"/></w:pPr><w:r><w:rPr><w:color w:val="333333"/><w:sz w:val="22"/><w:szCs w:val="22"/><w:i w:val="1"/><w:iCs w:val="1"/></w:rPr><w:t xml:space="preserve">Target Market: Kenya and Africa -- Government, Institutional, and Corporate Governance</w:t></w:r><w:r><w:rPr><w:color w:val="333333"/><w:sz w:val="22"/><w:szCs w:val="22"/></w:rPr><w:t xml:space="preserve">Target Market: Kenya and Africa -- Government, Institutional, and Corporate Governance</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DFCC4F1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B934F450"/>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