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standalone="yes"?>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w:body><w:p><w:pPr><w:pStyle w:val="Heading1"/></w:pPr><w:bookmarkStart w:id="1" w:name="_Toc1"/><w:r><w:t>PART 6 — GOVERNMENT & INSTITUTIONAL SALES BROCHURE</w:t></w:r><w:bookmarkEnd w:id="1"/></w:p><w:p><w:pPr><w:pStyle w:val="Normal"/></w:pPr><w:r><w:rPr><w:color w:val="2C3E50"/><w:sz w:val="22"/><w:szCs w:val="22"/><w:b w:val="1"/><w:bCs w:val="1"/></w:rPr><w:t xml:space="preserve">Document Status:</w:t></w:r><w:r><w:rPr><w:color w:val="333333"/><w:sz w:val="22"/><w:szCs w:val="22"/></w:rPr><w:t xml:space="preserve">Document Status:</w:t></w:r><w:r><w:rPr><w:color w:val="333333"/><w:sz w:val="22"/><w:szCs w:val="22"/></w:rPr><w:t xml:space="preserve"> </w:t></w:r><w:r><w:rPr><w:color w:val="FFFFFF"/><w:sz w:val="16"/><w:szCs w:val="16"/><w:b w:val="1"/><w:bCs w:val="1"/><w:shd w:val="clear" w:fill="27AE60"/></w:rPr><w:t xml:space="preserve"> READY TO USE </w:t></w:r><w:r><w:rPr><w:color w:val="333333"/><w:sz w:val="22"/><w:szCs w:val="22"/></w:rPr><w:t xml:space="preserve"> unless marked otherwise</w:t></w:r></w:p><w:p><w:pPr><w:pStyle w:val="Normal"/></w:pPr><w:r><w:rPr><w:color w:val="2C3E50"/><w:sz w:val="22"/><w:szCs w:val="22"/><w:b w:val="1"/><w:bCs w:val="1"/></w:rPr><w:t xml:space="preserve">Prepared by:</w:t></w:r><w:r><w:rPr><w:color w:val="333333"/><w:sz w:val="22"/><w:szCs w:val="22"/></w:rPr><w:t xml:space="preserve">Prepared by:</w:t></w:r><w:r><w:rPr><w:color w:val="333333"/><w:sz w:val="22"/><w:szCs w:val="22"/></w:rPr><w:t xml:space="preserve"> Losvinca</w:t></w:r></w:p><w:p><w:pPr><w:pStyle w:val="Normal"/></w:pPr><w:r><w:rPr><w:color w:val="2C3E50"/><w:sz w:val="22"/><w:szCs w:val="22"/><w:b w:val="1"/><w:bCs w:val="1"/></w:rPr><w:t xml:space="preserve">Target Audience:</w:t></w:r><w:r><w:rPr><w:color w:val="333333"/><w:sz w:val="22"/><w:szCs w:val="22"/></w:rPr><w:t xml:space="preserve">Target Audience:</w:t></w:r><w:r><w:rPr><w:color w:val="333333"/><w:sz w:val="22"/><w:szCs w:val="22"/></w:rPr><w:t xml:space="preserve"> Government institutions, state corporations, county governments, NGOs, regulatory authorities, and organizations with formal boards across Kenya and Africa</w:t></w:r></w:p><w:p><w:pPr><w:pStyle w:val="Heading2"/></w:pPr><w:bookmarkStart w:id="2" w:name="_Toc2"/><w:r><w:t>BROCHURE COPY — PROFESSIONAL LAYOUT GUIDE</w:t></w:r><w:bookmarkEnd w:id="2"/></w:p><w:p><w:pPr><w:pStyle w:val="Normal"/></w:pPr><w:r><w:rPr><w:color w:val="333333"/><w:sz w:val="22"/><w:szCs w:val="22"/><w:i w:val="1"/><w:iCs w:val="1"/></w:rPr><w:t xml:space="preserve">The following is complete, print-ready copy for a 4-page professional brochure. Layout instructions are provided in brackets for the graphic designer.</w:t></w:r><w:r><w:rPr><w:color w:val="333333"/><w:sz w:val="22"/><w:szCs w:val="22"/></w:rPr><w:t xml:space="preserve">The following is complete, print-ready copy for a 4-page professional brochure. Layout instructions are provided in brackets for the graphic designer.</w:t></w:r></w:p><w:p><w:pPr><w:pStyle w:val="Heading3"/></w:pPr><w:bookmarkStart w:id="3" w:name="_Toc3"/><w:r><w:t>PAGE 1 — FRONT COVER</w:t></w:r><w:bookmarkEnd w:id="3"/></w:p><w:p><w:pPr><w:pStyle w:val="Normal"/></w:pPr><w:r><w:rPr><w:color w:val="333333"/><w:sz w:val="22"/><w:szCs w:val="22"/></w:rPr><w:t xml:space="preserve">[Large product logo placement]</w:t></w:r></w:p><w:p><w:pPr><w:pStyle w:val="Heading1"/></w:pPr><w:bookmarkStart w:id="4" w:name="_Toc4"/><w:r><w:t>E-Board</w:t></w:r><w:bookmarkEnd w:id="4"/></w:p><w:p><w:pPr><w:pStyle w:val="Heading3"/></w:pPr><w:bookmarkStart w:id="5" w:name="_Toc5"/><w:r><w:t>Digital Board Governance Platform</w:t></w:r><w:bookmarkEnd w:id="5"/></w:p><w:p><w:pPr><w:pStyle w:val="Normal"/></w:pPr><w:r><w:rPr><w:color w:val="2C3E50"/><w:sz w:val="22"/><w:szCs w:val="22"/><w:b w:val="1"/><w:bCs w:val="1"/></w:rPr><w:t xml:space="preserve">Secure. Structured. Compliant.</w:t></w:r><w:r><w:rPr><w:color w:val="333333"/><w:sz w:val="22"/><w:szCs w:val="22"/></w:rPr><w:t xml:space="preserve">Secure. Structured. Compliant.</w:t></w:r></w:p><w:p><w:pPr><w:pStyle w:val="Normal"/></w:pPr><w:r><w:rPr><w:color w:val="333333"/><w:sz w:val="22"/><w:szCs w:val="22"/></w:rPr><w:t xml:space="preserve">The comprehensive digital platform purpose-built for government institutions, state corporations, and organizations that demand rigorous, auditable board governance.</w:t></w:r></w:p><w:p><w:pPr><w:pStyle w:val="Normal"/></w:pPr><w:r><w:rPr><w:color w:val="333333"/><w:sz w:val="22"/><w:szCs w:val="22"/></w:rPr><w:t xml:space="preserve">[Losvinca company logo — bottom of page]</w:t></w:r></w:p><w:p><w:pPr><w:pStyle w:val="Normal"/></w:pPr><w:r><w:rPr><w:color w:val="333333"/><w:sz w:val="22"/><w:szCs w:val="22"/></w:rPr><w:t xml:space="preserve">[REQUIRES LOSVINCA INPUT: Final tagline confirmation, approved product logo file, approved company logo file]</w:t></w:r></w:p><w:p><w:pPr><w:pStyle w:val="Heading3"/></w:pPr><w:bookmarkStart w:id="6" w:name="_Toc6"/><w:r><w:t>PAGE 2 — THE CHALLENGE & THE SOLUTION</w:t></w:r><w:bookmarkEnd w:id="6"/></w:p><w:p><w:pPr><w:pStyle w:val="Heading2"/></w:pPr><w:bookmarkStart w:id="7" w:name="_Toc7"/><w:r><w:t>The Governance Challenge</w:t></w:r><w:bookmarkEnd w:id="7"/></w:p><w:p><w:pPr><w:pStyle w:val="Normal"/></w:pPr><w:r><w:rPr><w:color w:val="333333"/><w:sz w:val="22"/><w:szCs w:val="22"/></w:rPr><w:t xml:space="preserve">Boards of directors in government institutions, state corporations, county governments, and regulated organizations face mounting pressure to deliver transparent, accountable, and well-documented governance. Yet many continue to rely on fragmented manual processes:</w:t></w:r></w:p><w:p><w:pPr><w:pStyle w:val="ListBullet"/><w:numPr><w:ilvl w:val="0"/><w:numId w:val="8"/></w:numPr></w:pPr><w:r><w:rPr><w:color w:val="2C3E50"/><w:sz w:val="22"/><w:szCs w:val="22"/><w:b w:val="1"/><w:bCs w:val="1"/></w:rPr><w:t xml:space="preserve">Paper-based board packs</w:t></w:r><w:r><w:rPr><w:color w:val="333333"/><w:sz w:val="22"/><w:szCs w:val="22"/></w:rPr><w:t xml:space="preserve">Paper-based board packs</w:t></w:r><w:r><w:rPr><w:color w:val="333333"/><w:sz w:val="22"/><w:szCs w:val="22"/></w:rPr><w:t xml:space="preserve"> that consume weeks to compile, print, and distribute</w:t></w:r></w:p><w:p><w:pPr><w:pStyle w:val="ListBullet"/><w:numPr><w:ilvl w:val="0"/><w:numId w:val="8"/></w:numPr></w:pPr><w:r><w:rPr><w:color w:val="2C3E50"/><w:sz w:val="22"/><w:szCs w:val="22"/><w:b w:val="1"/><w:bCs w:val="1"/></w:rPr><w:t xml:space="preserve">Inconsistent meeting records</w:t></w:r><w:r><w:rPr><w:color w:val="333333"/><w:sz w:val="22"/><w:szCs w:val="22"/></w:rPr><w:t xml:space="preserve">Inconsistent meeting records</w:t></w:r><w:r><w:rPr><w:color w:val="333333"/><w:sz w:val="22"/><w:szCs w:val="22"/></w:rPr><w:t xml:space="preserve"> scattered across emails, shared drives, and filing cabinets</w:t></w:r></w:p><w:p><w:pPr><w:pStyle w:val="ListBullet"/><w:numPr><w:ilvl w:val="0"/><w:numId w:val="8"/></w:numPr></w:pPr><w:r><w:rPr><w:color w:val="2C3E50"/><w:sz w:val="22"/><w:szCs w:val="22"/><w:b w:val="1"/><w:bCs w:val="1"/></w:rPr><w:t xml:space="preserve">No centralized oversight</w:t></w:r><w:r><w:rPr><w:color w:val="333333"/><w:sz w:val="22"/><w:szCs w:val="22"/></w:rPr><w:t xml:space="preserve">No centralized oversight</w:t></w:r><w:r><w:rPr><w:color w:val="333333"/><w:sz w:val="22"/><w:szCs w:val="22"/></w:rPr><w:t xml:space="preserve"> of board resolutions, action items, and compliance deadlines</w:t></w:r></w:p><w:p><w:pPr><w:pStyle w:val="ListBullet"/><w:numPr><w:ilvl w:val="0"/><w:numId w:val="8"/></w:numPr></w:pPr><w:r><w:rPr><w:color w:val="2C3E50"/><w:sz w:val="22"/><w:szCs w:val="22"/><w:b w:val="1"/><w:bCs w:val="1"/></w:rPr><w:t xml:space="preserve">Security vulnerabilities</w:t></w:r><w:r><w:rPr><w:color w:val="333333"/><w:sz w:val="22"/><w:szCs w:val="22"/></w:rPr><w:t xml:space="preserve">Security vulnerabilities</w:t></w:r><w:r><w:rPr><w:color w:val="333333"/><w:sz w:val="22"/><w:szCs w:val="22"/></w:rPr><w:t xml:space="preserve"> — sensitive board papers circulated via unsecured email or printed copies with no access controls</w:t></w:r></w:p><w:p><w:pPr><w:pStyle w:val="ListBullet"/><w:numPr><w:ilvl w:val="0"/><w:numId w:val="8"/></w:numPr></w:pPr><w:r><w:rPr><w:color w:val="2C3E50"/><w:sz w:val="22"/><w:szCs w:val="22"/><w:b w:val="1"/><w:bCs w:val="1"/></w:rPr><w:t xml:space="preserve">Compliance gaps</w:t></w:r><w:r><w:rPr><w:color w:val="333333"/><w:sz w:val="22"/><w:szCs w:val="22"/></w:rPr><w:t xml:space="preserve">Compliance gaps</w:t></w:r><w:r><w:rPr><w:color w:val="333333"/><w:sz w:val="22"/><w:szCs w:val="22"/></w:rPr><w:t xml:space="preserve"> — difficulty demonstrating adherence to the Mwongozo Code, Companies Act, and State Corporations Act requirements for notice periods, conflict of interest declarations, and audit trails</w:t></w:r></w:p><w:p><w:pPr><w:pStyle w:val="ListBullet"/><w:numPr><w:ilvl w:val="0"/><w:numId w:val="8"/></w:numPr></w:pPr><w:r><w:rPr><w:color w:val="2C3E50"/><w:sz w:val="22"/><w:szCs w:val="22"/><w:b w:val="1"/><w:bCs w:val="1"/></w:rPr><w:t xml:space="preserve">Limited visibility</w:t></w:r><w:r><w:rPr><w:color w:val="333333"/><w:sz w:val="22"/><w:szCs w:val="22"/></w:rPr><w:t xml:space="preserve">Limited visibility</w:t></w:r><w:r><w:rPr><w:color w:val="333333"/><w:sz w:val="22"/><w:szCs w:val="22"/></w:rPr><w:t xml:space="preserve"> for CEOs and Corporation Secretaries into pending actions, upcoming deadlines, and board member engagement</w:t></w:r></w:p><w:p><w:pPr><w:pStyle w:val="Normal"/></w:pPr><w:r><w:rPr><w:color w:val="333333"/><w:sz w:val="22"/><w:szCs w:val="22"/></w:rPr><w:t xml:space="preserve">The cost of inefficient board governance is not merely administrative. It exposes institutions to regulatory risk, delays strategic decisions, erodes stakeholder confidence, and undermines the very accountability that public institutions are mandated to uphold.</w:t></w:r></w:p><w:p><w:pPr><w:pStyle w:val="Heading2"/></w:pPr><w:bookmarkStart w:id="8" w:name="_Toc8"/><w:r><w:t>The E-Board Solution</w:t></w:r><w:bookmarkEnd w:id="8"/></w:p><w:p><w:pPr><w:pStyle w:val="Normal"/></w:pPr><w:r><w:rPr><w:color w:val="333333"/><w:sz w:val="22"/><w:szCs w:val="22"/></w:rPr><w:t xml:space="preserve">E-Board is a purpose-built digital board governance platform designed from the ground up for the specific requirements of Kenyan and African institutional governance.</w:t></w:r></w:p><w:p><w:pPr><w:pStyle w:val="Normal"/></w:pPr><w:r><w:rPr><w:color w:val="333333"/><w:sz w:val="22"/><w:szCs w:val="22"/></w:rPr><w:t xml:space="preserve">Unlike generic document management systems or collaboration tools, E-Board provides a structured, end-to-end workflow that mirrors exactly how boards operate — from annual planning and meeting initiation through board paper preparation, live meetings, minutes capture, and resolution tracking.</w:t></w:r></w:p><w:p><w:pPr><w:pStyle w:val="Normal"/></w:pPr><w:r><w:rPr><w:color w:val="2C3E50"/><w:sz w:val="22"/><w:szCs w:val="22"/><w:b w:val="1"/><w:bCs w:val="1"/></w:rPr><w:t xml:space="preserve">E-Board does not attempt to change how your board works. It digitizes and secures the processes your institution already follows — while adding the visibility, accountability, and audit trail that good governance demands.</w:t></w:r><w:r><w:rPr><w:color w:val="333333"/><w:sz w:val="22"/><w:szCs w:val="22"/></w:rPr><w:t xml:space="preserve">E-Board does not attempt to change how your board works. It digitizes and secures the processes your institution already follows — while adding the visibility, accountability, and audit trail that good governance demands.</w:t></w:r></w:p><w:p><w:pPr><w:pStyle w:val="Heading3"/></w:pPr><w:bookmarkStart w:id="9" w:name="_Toc9"/><w:r><w:t>PAGE 3 — CAPABILITIES & BENEFITS</w:t></w:r><w:bookmarkEnd w:id="9"/></w:p><w:p><w:pPr><w:pStyle w:val="Heading2"/></w:pPr><w:bookmarkStart w:id="10" w:name="_Toc10"/><w:r><w:t>Key Capabilities</w:t></w:r><w:bookmarkEnd w:id="10"/></w:p><w:p><w:pPr><w:pStyle w:val="Heading3"/></w:pPr><w:bookmarkStart w:id="11" w:name="_Toc11"/><w:r><w:t>Annual Planning & Scheduling</w:t></w:r><w:bookmarkEnd w:id="11"/></w:p><w:p><w:pPr><w:pStyle w:val="ListBullet"/><w:numPr><w:ilvl w:val="0"/><w:numId w:val="8"/></w:numPr></w:pPr><w:r><w:rPr><w:color w:val="2C3E50"/><w:sz w:val="22"/><w:szCs w:val="22"/><w:b w:val="1"/><w:bCs w:val="1"/></w:rPr><w:t xml:space="preserve">Almanac Management</w:t></w:r><w:r><w:rPr><w:color w:val="333333"/><w:sz w:val="22"/><w:szCs w:val="22"/></w:rPr><w:t xml:space="preserve">Almanac Management</w:t></w:r><w:r><w:rPr><w:color w:val="333333"/><w:sz w:val="22"/><w:szCs w:val="22"/></w:rPr><w:t xml:space="preserve"> — Plan the full annual meeting calendar with CEO approval workflow, PDF generation, versioning, and signed document upload</w:t></w:r></w:p><w:p><w:pPr><w:pStyle w:val="ListBullet"/><w:numPr><w:ilvl w:val="0"/><w:numId w:val="8"/></w:numPr></w:pPr><w:r><w:rPr><w:color w:val="2C3E50"/><w:sz w:val="22"/><w:szCs w:val="22"/><w:b w:val="1"/><w:bCs w:val="1"/></w:rPr><w:t xml:space="preserve">Financial Year Alignment</w:t></w:r><w:r><w:rPr><w:color w:val="333333"/><w:sz w:val="22"/><w:szCs w:val="22"/></w:rPr><w:t xml:space="preserve">Financial Year Alignment</w:t></w:r><w:r><w:rPr><w:color w:val="333333"/><w:sz w:val="22"/><w:szCs w:val="22"/></w:rPr><w:t xml:space="preserve"> — Built for the Kenyan fiscal year (July-June) with pre-loaded support for all 47 counties</w:t></w:r></w:p><w:p><w:pPr><w:pStyle w:val="Heading3"/></w:pPr><w:bookmarkStart w:id="12" w:name="_Toc12"/><w:r><w:t>Structured Meeting Workflow</w:t></w:r><w:bookmarkEnd w:id="12"/></w:p><w:p><w:pPr><w:pStyle w:val="ListBullet"/><w:numPr><w:ilvl w:val="0"/><w:numId w:val="8"/></w:numPr></w:pPr><w:r><w:rPr><w:color w:val="2C3E50"/><w:sz w:val="22"/><w:szCs w:val="22"/><w:b w:val="1"/><w:bCs w:val="1"/></w:rPr><w:t xml:space="preserve">10-Stage Meeting Process</w:t></w:r><w:r><w:rPr><w:color w:val="333333"/><w:sz w:val="22"/><w:szCs w:val="22"/></w:rPr><w:t xml:space="preserve">10-Stage Meeting Process</w:t></w:r><w:r><w:rPr><w:color w:val="333333"/><w:sz w:val="22"/><w:szCs w:val="22"/></w:rPr><w:t xml:space="preserve"> — From initiation through internal notice creation, CEO approval, officer assignments, board paper preparation with annexures, multi-stage review (Officer, Director, CEO), agenda building, live meeting management, to minutes capture and Word export</w:t></w:r></w:p><w:p><w:pPr><w:pStyle w:val="ListBullet"/><w:numPr><w:ilvl w:val="0"/><w:numId w:val="8"/></w:numPr></w:pPr><w:r><w:rPr><w:color w:val="2C3E50"/><w:sz w:val="22"/><w:szCs w:val="22"/><w:b w:val="1"/><w:bCs w:val="1"/></w:rPr><w:t xml:space="preserve">Board Notices</w:t></w:r><w:r><w:rPr><w:color w:val="333333"/><w:sz w:val="22"/><w:szCs w:val="22"/></w:rPr><w:t xml:space="preserve">Board Notices</w:t></w:r><w:r><w:rPr><w:color w:val="333333"/><w:sz w:val="22"/><w:szCs w:val="22"/></w:rPr><w:t xml:space="preserve"> — Generate and distribute formal board notices with CEO approval, 10-day advance notice compliance, and automated email distribution</w:t></w:r></w:p><w:p><w:pPr><w:pStyle w:val="ListBullet"/><w:numPr><w:ilvl w:val="0"/><w:numId w:val="8"/></w:numPr></w:pPr><w:r><w:rPr><w:color w:val="2C3E50"/><w:sz w:val="22"/><w:szCs w:val="22"/><w:b w:val="1"/><w:bCs w:val="1"/></w:rPr><w:t xml:space="preserve">Attendance & Conflict Declarations</w:t></w:r><w:r><w:rPr><w:color w:val="333333"/><w:sz w:val="22"/><w:szCs w:val="22"/></w:rPr><w:t xml:space="preserve">Attendance & Conflict Declarations</w:t></w:r><w:r><w:rPr><w:color w:val="333333"/><w:sz w:val="22"/><w:szCs w:val="22"/></w:rPr><w:t xml:space="preserve"> — Digital attendance register with OTP verification and digital signatures for conflict of interest declarations</w:t></w:r></w:p><w:p><w:pPr><w:pStyle w:val="Heading3"/></w:pPr><w:bookmarkStart w:id="13" w:name="_Toc13"/><w:r><w:t>Board Paper Management</w:t></w:r><w:bookmarkEnd w:id="13"/></w:p><w:p><w:pPr><w:pStyle w:val="ListBullet"/><w:numPr><w:ilvl w:val="0"/><w:numId w:val="8"/></w:numPr></w:pPr><w:r><w:rPr><w:color w:val="2C3E50"/><w:sz w:val="22"/><w:szCs w:val="22"/><w:b w:val="1"/><w:bCs w:val="1"/></w:rPr><w:t xml:space="preserve">Multi-Stage Review</w:t></w:r><w:r><w:rPr><w:color w:val="333333"/><w:sz w:val="22"/><w:szCs w:val="22"/></w:rPr><w:t xml:space="preserve">Multi-Stage Review</w:t></w:r><w:r><w:rPr><w:color w:val="333333"/><w:sz w:val="22"/><w:szCs w:val="22"/></w:rPr><w:t xml:space="preserve"> — Board papers move through Officer preparation, Director review, and CEO review with sticky notes, versioning, annexures, status notifications, and recall capability</w:t></w:r></w:p><w:p><w:pPr><w:pStyle w:val="ListBullet"/><w:numPr><w:ilvl w:val="0"/><w:numId w:val="8"/></w:numPr></w:pPr><w:r><w:rPr><w:color w:val="2C3E50"/><w:sz w:val="22"/><w:szCs w:val="22"/><w:b w:val="1"/><w:bCs w:val="1"/></w:rPr><w:t xml:space="preserve">Secure Distribution</w:t></w:r><w:r><w:rPr><w:color w:val="333333"/><w:sz w:val="22"/><w:szCs w:val="22"/></w:rPr><w:t xml:space="preserve">Secure Distribution</w:t></w:r><w:r><w:rPr><w:color w:val="333333"/><w:sz w:val="22"/><w:szCs w:val="22"/></w:rPr><w:t xml:space="preserve"> — Papers delivered through the platform with role-based access controls, eliminating unsecured email distribution</w:t></w:r></w:p><w:p><w:pPr><w:pStyle w:val="Heading3"/></w:pPr><w:bookmarkStart w:id="14" w:name="_Toc14"/><w:r><w:t>Governance & Compliance</w:t></w:r><w:bookmarkEnd w:id="14"/></w:p><w:p><w:pPr><w:pStyle w:val="ListBullet"/><w:numPr><w:ilvl w:val="0"/><w:numId w:val="8"/></w:numPr></w:pPr><w:r><w:rPr><w:color w:val="2C3E50"/><w:sz w:val="22"/><w:szCs w:val="22"/><w:b w:val="1"/><w:bCs w:val="1"/></w:rPr><w:t xml:space="preserve">Board Resolutions</w:t></w:r><w:r><w:rPr><w:color w:val="333333"/><w:sz w:val="22"/><w:szCs w:val="22"/></w:rPr><w:t xml:space="preserve">Board Resolutions</w:t></w:r><w:r><w:rPr><w:color w:val="333333"/><w:sz w:val="22"/><w:szCs w:val="22"/></w:rPr><w:t xml:space="preserve"> — Create, assign, track, and monitor resolutions with due dates and status tracking (pending, in progress, completed, overdue)</w:t></w:r></w:p><w:p><w:pPr><w:pStyle w:val="ListBullet"/><w:numPr><w:ilvl w:val="0"/><w:numId w:val="8"/></w:numPr></w:pPr><w:r><w:rPr><w:color w:val="2C3E50"/><w:sz w:val="22"/><w:szCs w:val="22"/><w:b w:val="1"/><w:bCs w:val="1"/></w:rPr><w:t xml:space="preserve">Conflict of Interest Register</w:t></w:r><w:r><w:rPr><w:color w:val="333333"/><w:sz w:val="22"/><w:szCs w:val="22"/></w:rPr><w:t xml:space="preserve">Conflict of Interest Register</w:t></w:r><w:r><w:rPr><w:color w:val="333333"/><w:sz w:val="22"/><w:szCs w:val="22"/></w:rPr><w:t xml:space="preserve"> — OTP-verified declarations with digital signatures and exportable register (PDF/CSV)</w:t></w:r></w:p><w:p><w:pPr><w:pStyle w:val="ListBullet"/><w:numPr><w:ilvl w:val="0"/><w:numId w:val="8"/></w:numPr></w:pPr><w:r><w:rPr><w:color w:val="2C3E50"/><w:sz w:val="22"/><w:szCs w:val="22"/><w:b w:val="1"/><w:bCs w:val="1"/></w:rPr><w:t xml:space="preserve">Comprehensive Audit Trail</w:t></w:r><w:r><w:rPr><w:color w:val="333333"/><w:sz w:val="22"/><w:szCs w:val="22"/></w:rPr><w:t xml:space="preserve">Comprehensive Audit Trail</w:t></w:r><w:r><w:rPr><w:color w:val="333333"/><w:sz w:val="22"/><w:szCs w:val="22"/></w:rPr><w:t xml:space="preserve"> — Automatic logging of every action (insert, update, delete) with old and new values, IP address, user agent, and timestamp; filterable viewer with PDF export</w:t></w:r></w:p><w:p><w:pPr><w:pStyle w:val="Heading3"/></w:pPr><w:bookmarkStart w:id="15" w:name="_Toc15"/><w:r><w:t>Security & Access Control</w:t></w:r><w:bookmarkEnd w:id="15"/></w:p><w:p><w:pPr><w:pStyle w:val="ListBullet"/><w:numPr><w:ilvl w:val="0"/><w:numId w:val="8"/></w:numPr></w:pPr><w:r><w:rPr><w:color w:val="2C3E50"/><w:sz w:val="22"/><w:szCs w:val="22"/><w:b w:val="1"/><w:bCs w:val="1"/></w:rPr><w:t xml:space="preserve">10 System Roles</w:t></w:r><w:r><w:rPr><w:color w:val="333333"/><w:sz w:val="22"/><w:szCs w:val="22"/></w:rPr><w:t xml:space="preserve">10 System Roles</w:t></w:r><w:r><w:rPr><w:color w:val="333333"/><w:sz w:val="22"/><w:szCs w:val="22"/></w:rPr><w:t xml:space="preserve"> — Superadmin, Admin, CEO, Corporation Secretary, Director, Division Head, DD Internal Audit, DD ICT, Board Member, Officer</w:t></w:r></w:p><w:p><w:pPr><w:pStyle w:val="ListBullet"/><w:numPr><w:ilvl w:val="0"/><w:numId w:val="8"/></w:numPr></w:pPr><w:r><w:rPr><w:color w:val="2C3E50"/><w:sz w:val="22"/><w:szCs w:val="22"/><w:b w:val="1"/><w:bCs w:val="1"/></w:rPr><w:t xml:space="preserve">Granular Permissions</w:t></w:r><w:r><w:rPr><w:color w:val="333333"/><w:sz w:val="22"/><w:szCs w:val="22"/></w:rPr><w:t xml:space="preserve">Granular Permissions</w:t></w:r><w:r><w:rPr><w:color w:val="333333"/><w:sz w:val="22"/><w:szCs w:val="22"/></w:rPr><w:t xml:space="preserve"> — Fine-grained, role-based access control using industry-standard Spatie permission management</w:t></w:r></w:p><w:p><w:pPr><w:pStyle w:val="ListBullet"/><w:numPr><w:ilvl w:val="0"/><w:numId w:val="8"/></w:numPr></w:pPr><w:r><w:rPr><w:color w:val="2C3E50"/><w:sz w:val="22"/><w:szCs w:val="22"/><w:b w:val="1"/><w:bCs w:val="1"/></w:rPr><w:t xml:space="preserve">OTP-Based Two-Factor Authentication</w:t></w:r><w:r><w:rPr><w:color w:val="333333"/><w:sz w:val="22"/><w:szCs w:val="22"/></w:rPr><w:t xml:space="preserve">OTP-Based Two-Factor Authentication</w:t></w:r><w:r><w:rPr><w:color w:val="333333"/><w:sz w:val="22"/><w:szCs w:val="22"/></w:rPr><w:t xml:space="preserve"> — 6-digit email verification codes with 5-minute expiry and rate throttling</w:t></w:r></w:p><w:p><w:pPr><w:pStyle w:val="ListBullet"/><w:numPr><w:ilvl w:val="0"/><w:numId w:val="8"/></w:numPr></w:pPr><w:r><w:rPr><w:color w:val="2C3E50"/><w:sz w:val="22"/><w:szCs w:val="22"/><w:b w:val="1"/><w:bCs w:val="1"/></w:rPr><w:t xml:space="preserve">Account Security</w:t></w:r><w:r><w:rPr><w:color w:val="333333"/><w:sz w:val="22"/><w:szCs w:val="22"/></w:rPr><w:t xml:space="preserve">Account Security</w:t></w:r><w:r><w:rPr><w:color w:val="333333"/><w:sz w:val="22"/><w:szCs w:val="22"/></w:rPr><w:t xml:space="preserve"> — Automatic lockout after failed login attempts, forced password change enforcement, user status controls</w:t></w:r></w:p><w:p><w:pPr><w:pStyle w:val="Heading3"/></w:pPr><w:bookmarkStart w:id="16" w:name="_Toc16"/><w:r><w:t>Board Member Management</w:t></w:r><w:bookmarkEnd w:id="16"/></w:p><w:p><w:pPr><w:pStyle w:val="ListBullet"/><w:numPr><w:ilvl w:val="0"/><w:numId w:val="8"/></w:numPr></w:pPr><w:r><w:rPr><w:color w:val="333333"/><w:sz w:val="22"/><w:szCs w:val="22"/></w:rPr><w:t xml:space="preserve">Comprehensive member profiles with qualifications, documents, photos, CVs, gazette notices, signature images</w:t></w:r></w:p><w:p><w:pPr><w:pStyle w:val="ListBullet"/><w:numPr><w:ilvl w:val="0"/><w:numId w:val="8"/></w:numPr></w:pPr><w:r><w:rPr><w:color w:val="333333"/><w:sz w:val="22"/><w:szCs w:val="22"/></w:rPr><w:t xml:space="preserve">Profile completeness scoring to ensure governance-ready records</w:t></w:r></w:p><w:p><w:pPr><w:pStyle w:val="ListBullet"/><w:numPr><w:ilvl w:val="0"/><w:numId w:val="8"/></w:numPr></w:pPr><w:r><w:rPr><w:color w:val="333333"/><w:sz w:val="22"/><w:szCs w:val="22"/></w:rPr><w:t xml:space="preserve">Automatic user account creation upon board member registration</w:t></w:r></w:p><w:p><w:pPr><w:pStyle w:val="Heading3"/></w:pPr><w:bookmarkStart w:id="17" w:name="_Toc17"/><w:r><w:t>Document Repository</w:t></w:r><w:bookmarkEnd w:id="17"/></w:p><w:p><w:pPr><w:pStyle w:val="ListBullet"/><w:numPr><w:ilvl w:val="0"/><w:numId w:val="8"/></w:numPr></w:pPr><w:r><w:rPr><w:color w:val="333333"/><w:sz w:val="22"/><w:szCs w:val="22"/></w:rPr><w:t xml:space="preserve">Categorized document storage supporting multiple formats (up to 20MB)</w:t></w:r></w:p><w:p><w:pPr><w:pStyle w:val="ListBullet"/><w:numPr><w:ilvl w:val="0"/><w:numId w:val="8"/></w:numPr></w:pPr><w:r><w:rPr><w:color w:val="333333"/><w:sz w:val="22"/><w:szCs w:val="22"/></w:rPr><w:t xml:space="preserve">Three visibility levels: all members, committee-only, or specific named members</w:t></w:r></w:p><w:p><w:pPr><w:pStyle w:val="ListBullet"/><w:numPr><w:ilvl w:val="0"/><w:numId w:val="8"/></w:numPr></w:pPr><w:r><w:rPr><w:color w:val="333333"/><w:sz w:val="22"/><w:szCs w:val="22"/></w:rPr><w:t xml:space="preserve">Download tracking and full access control</w:t></w:r></w:p><w:p><w:pPr><w:pStyle w:val="Heading3"/></w:pPr><w:bookmarkStart w:id="18" w:name="_Toc18"/><w:r><w:t>iPad-Optimized Board Portal</w:t></w:r><w:bookmarkEnd w:id="18"/></w:p><w:p><w:pPr><w:pStyle w:val="ListBullet"/><w:numPr><w:ilvl w:val="0"/><w:numId w:val="8"/></w:numPr></w:pPr><w:r><w:rPr><w:color w:val="333333"/><w:sz w:val="22"/><w:szCs w:val="22"/></w:rPr><w:t xml:space="preserve">Dedicated portal for board members optimized for iPad use</w:t></w:r></w:p><w:p><w:pPr><w:pStyle w:val="ListBullet"/><w:numPr><w:ilvl w:val="0"/><w:numId w:val="8"/></w:numPr></w:pPr><w:r><w:rPr><w:color w:val="333333"/><w:sz w:val="22"/><w:szCs w:val="22"/></w:rPr><w:t xml:space="preserve">Dashboard, calendar, committee view, notices, board papers with sticky notes, active meeting participation, document repository, and profile management</w:t></w:r></w:p><w:p><w:pPr><w:pStyle w:val="Heading3"/></w:pPr><w:bookmarkStart w:id="19" w:name="_Toc19"/><w:r><w:t>Communication & Notifications</w:t></w:r><w:bookmarkEnd w:id="19"/></w:p><w:p><w:pPr><w:pStyle w:val="ListBullet"/><w:numPr><w:ilvl w:val="0"/><w:numId w:val="8"/></w:numPr></w:pPr><w:r><w:rPr><w:color w:val="333333"/><w:sz w:val="22"/><w:szCs w:val="22"/></w:rPr><w:t xml:space="preserve">Automated workflow emails across 33+ templates covering the full meeting lifecycle</w:t></w:r></w:p><w:p><w:pPr><w:pStyle w:val="ListBullet"/><w:numPr><w:ilvl w:val="0"/><w:numId w:val="8"/></w:numPr></w:pPr><w:r><w:rPr><w:color w:val="333333"/><w:sz w:val="22"/><w:szCs w:val="22"/></w:rPr><w:t xml:space="preserve">In-app notification system with per-user tracking, read/unread status, role-scoped delivery, and sidebar badges</w:t></w:r></w:p><w:p><w:pPr><w:pStyle w:val="ListBullet"/><w:numPr><w:ilvl w:val="0"/><w:numId w:val="8"/></w:numPr></w:pPr><w:r><w:rPr><w:color w:val="333333"/><w:sz w:val="22"/><w:szCs w:val="22"/></w:rPr><w:t xml:space="preserve">Configurable SMTP email integration with test email functionality</w:t></w:r></w:p><w:p><w:pPr><w:pStyle w:val="Heading3"/></w:pPr><w:bookmarkStart w:id="20" w:name="_Toc20"/><w:r><w:t>Reporting & Export</w:t></w:r><w:bookmarkEnd w:id="20"/></w:p><w:p><w:pPr><w:pStyle w:val="ListBullet"/><w:numPr><w:ilvl w:val="0"/><w:numId w:val="8"/></w:numPr></w:pPr><w:r><w:rPr><w:color w:val="333333"/><w:sz w:val="22"/><w:szCs w:val="22"/></w:rPr><w:t xml:space="preserve">PDF generation: almanac, notices, attendance register, conflict of interest register, board papers, audit logs</w:t></w:r></w:p><w:p><w:pPr><w:pStyle w:val="ListBullet"/><w:numPr><w:ilvl w:val="0"/><w:numId w:val="8"/></w:numPr></w:pPr><w:r><w:rPr><w:color w:val="333333"/><w:sz w:val="22"/><w:szCs w:val="22"/></w:rPr><w:t xml:space="preserve">CSV exports: attendance records, conflict of interest register</w:t></w:r></w:p><w:p><w:pPr><w:pStyle w:val="ListBullet"/><w:numPr><w:ilvl w:val="0"/><w:numId w:val="8"/></w:numPr></w:pPr><w:r><w:rPr><w:color w:val="333333"/><w:sz w:val="22"/><w:szCs w:val="22"/></w:rPr><w:t xml:space="preserve">Word export: meeting minutes</w:t></w:r></w:p><w:p><w:pPr><w:pStyle w:val="Heading2"/></w:pPr><w:bookmarkStart w:id="21" w:name="_Toc21"/><w:r><w:t>Who E-Board Serves</w:t></w:r><w:bookmarkEnd w:id="21"/></w:p><w:tbl><w:tblGrid><w:gridCol/><w:gridCol/></w:tblGrid><w:tblPr><w:tblW w:w="0" w:type="auto"/><w:tblLayout w:type="autofit"/><w:bidiVisual w:val="0"/><w:tblCellMar><w:top w:w="60" w:type="dxa"/><w:left w:w="60" w:type="dxa"/><w:right w:w="60" w:type="dxa"/><w:bottom w:w="60" w:type="dxa"/></w:tblCellMar><w:tblBorders><w:top w:val="single" w:sz="4" w:color="CCCCCC"/><w:left w:val="single" w:sz="4" w:color="CCCCCC"/><w:right w:val="single" w:sz="4" w:color="CCCCCC"/><w:bottom w:val="single" w:sz="4" w:color="CCCCCC"/><w:insideH w:val="single" w:sz="4" w:color="CCCCCC"/><w:insideV w:val="single" w:sz="4" w:color="CCCCCC"/></w:tblBorders></w:tblPr><w:tr><w:trPr/><w:tc><w:tcPr><w:vAlign w:val="top"/><w:shd w:val="clear" w:fill="1B4F72"/></w:tcPr><w:p><w:pPr><w:spacing w:after="20"/></w:pPr><w:r><w:rPr><w:color w:val="FFFFFF"/><w:sz w:val="18"/><w:szCs w:val="18"/><w:b w:val="1"/><w:bCs w:val="1"/></w:rPr><w:t xml:space="preserve">Institution Type</w:t></w:r></w:p></w:tc><w:tc><w:tcPr><w:vAlign w:val="top"/><w:shd w:val="clear" w:fill="1B4F72"/></w:tcPr><w:p><w:pPr><w:spacing w:after="20"/></w:pPr><w:r><w:rPr><w:color w:val="FFFFFF"/><w:sz w:val="18"/><w:szCs w:val="18"/><w:b w:val="1"/><w:bCs w:val="1"/></w:rPr><w:t xml:space="preserve">Examples</w:t></w:r></w:p></w:tc></w:tr><w:tr><w:trPr/><w:tc><w:tcPr><w:vAlign w:val="top"/></w:tcPr><w:p><w:pPr><w:spacing w:after="20"/></w:pPr><w:r><w:rPr><w:color w:val="333333"/><w:sz w:val="18"/><w:szCs w:val="18"/></w:rPr><w:t xml:space="preserve">National Government Entities</w:t></w:r></w:p></w:tc><w:tc><w:tcPr><w:vAlign w:val="top"/></w:tcPr><w:p><w:pPr><w:spacing w:after="20"/></w:pPr><w:r><w:rPr><w:color w:val="333333"/><w:sz w:val="18"/><w:szCs w:val="18"/></w:rPr><w:t xml:space="preserve">Ministries, departments, state agencies</w:t></w:r></w:p></w:tc></w:tr><w:tr><w:trPr/><w:tc><w:tcPr><w:vAlign w:val="top"/><w:shd w:val="clear" w:fill="F8F9FA"/></w:tcPr><w:p><w:pPr><w:spacing w:after="20"/></w:pPr><w:r><w:rPr><w:color w:val="333333"/><w:sz w:val="18"/><w:szCs w:val="18"/></w:rPr><w:t xml:space="preserve">State Corporations</w:t></w:r></w:p></w:tc><w:tc><w:tcPr><w:vAlign w:val="top"/><w:shd w:val="clear" w:fill="F8F9FA"/></w:tcPr><w:p><w:pPr><w:spacing w:after="20"/></w:pPr><w:r><w:rPr><w:color w:val="333333"/><w:sz w:val="18"/><w:szCs w:val="18"/></w:rPr><w:t xml:space="preserve">Parastatals, government-owned enterprises</w:t></w:r></w:p></w:tc></w:tr><w:tr><w:trPr/><w:tc><w:tcPr><w:vAlign w:val="top"/></w:tcPr><w:p><w:pPr><w:spacing w:after="20"/></w:pPr><w:r><w:rPr><w:color w:val="333333"/><w:sz w:val="18"/><w:szCs w:val="18"/></w:rPr><w:t xml:space="preserve">County Governments</w:t></w:r></w:p></w:tc><w:tc><w:tcPr><w:vAlign w:val="top"/></w:tcPr><w:p><w:pPr><w:spacing w:after="20"/></w:pPr><w:r><w:rPr><w:color w:val="333333"/><w:sz w:val="18"/><w:szCs w:val="18"/></w:rPr><w:t xml:space="preserve">All 47 Kenyan counties, county assemblies, county corporations</w:t></w:r></w:p></w:tc></w:tr><w:tr><w:trPr/><w:tc><w:tcPr><w:vAlign w:val="top"/><w:shd w:val="clear" w:fill="F8F9FA"/></w:tcPr><w:p><w:pPr><w:spacing w:after="20"/></w:pPr><w:r><w:rPr><w:color w:val="333333"/><w:sz w:val="18"/><w:szCs w:val="18"/></w:rPr><w:t xml:space="preserve">Regulatory Authorities</w:t></w:r></w:p></w:tc><w:tc><w:tcPr><w:vAlign w:val="top"/><w:shd w:val="clear" w:fill="F8F9FA"/></w:tcPr><w:p><w:pPr><w:spacing w:after="20"/></w:pPr><w:r><w:rPr><w:color w:val="333333"/><w:sz w:val="18"/><w:szCs w:val="18"/></w:rPr><w:t xml:space="preserve">Sector regulators, commissions, statutory bodies</w:t></w:r></w:p></w:tc></w:tr><w:tr><w:trPr/><w:tc><w:tcPr><w:vAlign w:val="top"/></w:tcPr><w:p><w:pPr><w:spacing w:after="20"/></w:pPr><w:r><w:rPr><w:color w:val="333333"/><w:sz w:val="18"/><w:szCs w:val="18"/></w:rPr><w:t xml:space="preserve">Public Universities & Institutions</w:t></w:r></w:p></w:tc><w:tc><w:tcPr><w:vAlign w:val="top"/></w:tcPr><w:p><w:pPr><w:spacing w:after="20"/></w:pPr><w:r><w:rPr><w:color w:val="333333"/><w:sz w:val="18"/><w:szCs w:val="18"/></w:rPr><w:t xml:space="preserve">University councils, institutional boards</w:t></w:r></w:p></w:tc></w:tr><w:tr><w:trPr/><w:tc><w:tcPr><w:vAlign w:val="top"/><w:shd w:val="clear" w:fill="F8F9FA"/></w:tcPr><w:p><w:pPr><w:spacing w:after="20"/></w:pPr><w:r><w:rPr><w:color w:val="333333"/><w:sz w:val="18"/><w:szCs w:val="18"/></w:rPr><w:t xml:space="preserve">NGOs & Development Organizations</w:t></w:r></w:p></w:tc><w:tc><w:tcPr><w:vAlign w:val="top"/><w:shd w:val="clear" w:fill="F8F9FA"/></w:tcPr><w:p><w:pPr><w:spacing w:after="20"/></w:pPr><w:r><w:rPr><w:color w:val="333333"/><w:sz w:val="18"/><w:szCs w:val="18"/></w:rPr><w:t xml:space="preserve">Non-governmental organizations with formal board structures</w:t></w:r></w:p></w:tc></w:tr><w:tr><w:trPr/><w:tc><w:tcPr><w:vAlign w:val="top"/></w:tcPr><w:p><w:pPr><w:spacing w:after="20"/></w:pPr><w:r><w:rPr><w:color w:val="333333"/><w:sz w:val="18"/><w:szCs w:val="18"/></w:rPr><w:t xml:space="preserve">Private Sector</w:t></w:r></w:p></w:tc><w:tc><w:tcPr><w:vAlign w:val="top"/></w:tcPr><w:p><w:pPr><w:spacing w:after="20"/></w:pPr><w:r><w:rPr><w:color w:val="333333"/><w:sz w:val="18"/><w:szCs w:val="18"/></w:rPr><w:t xml:space="preserve">Companies with formal board governance requirements</w:t></w:r></w:p></w:tc></w:tr></w:tbl><w:p><w:pPr><w:pStyle w:val="Heading2"/></w:pPr><w:bookmarkStart w:id="22" w:name="_Toc22"/><w:r><w:t>Benefits</w:t></w:r><w:bookmarkEnd w:id="22"/></w:p><w:p><w:pPr><w:pStyle w:val="Normal"/></w:pPr><w:r><w:rPr><w:color w:val="2C3E50"/><w:sz w:val="22"/><w:szCs w:val="22"/><w:b w:val="1"/><w:bCs w:val="1"/></w:rPr><w:t xml:space="preserve">For the Institution</w:t></w:r><w:r><w:rPr><w:color w:val="333333"/><w:sz w:val="22"/><w:szCs w:val="22"/></w:rPr><w:t xml:space="preserve">For the Institution</w:t></w:r></w:p><w:p><w:pPr><w:pStyle w:val="ListBullet"/><w:numPr><w:ilvl w:val="0"/><w:numId w:val="8"/></w:numPr></w:pPr><w:r><w:rPr><w:color w:val="333333"/><w:sz w:val="22"/><w:szCs w:val="22"/></w:rPr><w:t xml:space="preserve">Full compliance with Kenyan governance requirements including the Mwongozo Code, Companies Act, and State Corporations Act</w:t></w:r></w:p><w:p><w:pPr><w:pStyle w:val="ListBullet"/><w:numPr><w:ilvl w:val="0"/><w:numId w:val="8"/></w:numPr></w:pPr><w:r><w:rPr><w:color w:val="333333"/><w:sz w:val="22"/><w:szCs w:val="22"/></w:rPr><w:t xml:space="preserve">Complete, tamper-evident audit trail for every board action — ready for oversight and review at any time</w:t></w:r></w:p><w:p><w:pPr><w:pStyle w:val="ListBullet"/><w:numPr><w:ilvl w:val="0"/><w:numId w:val="8"/></w:numPr></w:pPr><w:r><w:rPr><w:color w:val="333333"/><w:sz w:val="22"/><w:szCs w:val="22"/></w:rPr><w:t xml:space="preserve">Elimination of paper-based board pack preparation, printing, and physical distribution costs</w:t></w:r></w:p><w:p><w:pPr><w:pStyle w:val="ListBullet"/><w:numPr><w:ilvl w:val="0"/><w:numId w:val="8"/></w:numPr></w:pPr><w:r><w:rPr><w:color w:val="333333"/><w:sz w:val="22"/><w:szCs w:val="22"/></w:rPr><w:t xml:space="preserve">Institutional memory preserved digitally — no loss of records during leadership transitions</w:t></w:r></w:p><w:p><w:pPr><w:pStyle w:val="Normal"/></w:pPr><w:r><w:rPr><w:color w:val="2C3E50"/><w:sz w:val="22"/><w:szCs w:val="22"/><w:b w:val="1"/><w:bCs w:val="1"/></w:rPr><w:t xml:space="preserve">For the CEO</w:t></w:r><w:r><w:rPr><w:color w:val="333333"/><w:sz w:val="22"/><w:szCs w:val="22"/></w:rPr><w:t xml:space="preserve">For the CEO</w:t></w:r></w:p><w:p><w:pPr><w:pStyle w:val="ListBullet"/><w:numPr><w:ilvl w:val="0"/><w:numId w:val="8"/></w:numPr></w:pPr><w:r><w:rPr><w:color w:val="333333"/><w:sz w:val="22"/><w:szCs w:val="22"/></w:rPr><w:t xml:space="preserve">Real-time visibility into board paper preparation status, pending approvals, and resolution follow-up</w:t></w:r></w:p><w:p><w:pPr><w:pStyle w:val="ListBullet"/><w:numPr><w:ilvl w:val="0"/><w:numId w:val="8"/></w:numPr></w:pPr><w:r><w:rPr><w:color w:val="333333"/><w:sz w:val="22"/><w:szCs w:val="22"/></w:rPr><w:t xml:space="preserve">Structured approval workflows for notices, almanacs, and board papers with digital record of every decision</w:t></w:r></w:p><w:p><w:pPr><w:pStyle w:val="ListBullet"/><w:numPr><w:ilvl w:val="0"/><w:numId w:val="8"/></w:numPr></w:pPr><w:r><w:rPr><w:color w:val="333333"/><w:sz w:val="22"/><w:szCs w:val="22"/></w:rPr><w:t xml:space="preserve">Dashboard view of pending actions requiring executive attention</w:t></w:r></w:p><w:p><w:pPr><w:pStyle w:val="Normal"/></w:pPr><w:r><w:rPr><w:color w:val="2C3E50"/><w:sz w:val="22"/><w:szCs w:val="22"/><w:b w:val="1"/><w:bCs w:val="1"/></w:rPr><w:t xml:space="preserve">For the Corporation Secretary</w:t></w:r><w:r><w:rPr><w:color w:val="333333"/><w:sz w:val="22"/><w:szCs w:val="22"/></w:rPr><w:t xml:space="preserve">For the Corporation Secretary</w:t></w:r></w:p><w:p><w:pPr><w:pStyle w:val="ListBullet"/><w:numPr><w:ilvl w:val="0"/><w:numId w:val="8"/></w:numPr></w:pPr><w:r><w:rPr><w:color w:val="333333"/><w:sz w:val="22"/><w:szCs w:val="22"/></w:rPr><w:t xml:space="preserve">End-to-end meeting management from annual planning to minutes export</w:t></w:r></w:p><w:p><w:pPr><w:pStyle w:val="ListBullet"/><w:numPr><w:ilvl w:val="0"/><w:numId w:val="8"/></w:numPr></w:pPr><w:r><w:rPr><w:color w:val="333333"/><w:sz w:val="22"/><w:szCs w:val="22"/></w:rPr><w:t xml:space="preserve">Automated notice generation with 10-day compliance tracking</w:t></w:r></w:p><w:p><w:pPr><w:pStyle w:val="ListBullet"/><w:numPr><w:ilvl w:val="0"/><w:numId w:val="8"/></w:numPr></w:pPr><w:r><w:rPr><w:color w:val="333333"/><w:sz w:val="22"/><w:szCs w:val="22"/></w:rPr><w:t xml:space="preserve">Centralized board member records with completeness scoring</w:t></w:r></w:p><w:p><w:pPr><w:pStyle w:val="ListBullet"/><w:numPr><w:ilvl w:val="0"/><w:numId w:val="8"/></w:numPr></w:pPr><w:r><w:rPr><w:color w:val="333333"/><w:sz w:val="22"/><w:szCs w:val="22"/></w:rPr><w:t xml:space="preserve">One-click generation of attendance registers, conflict of interest registers, and audit reports</w:t></w:r></w:p><w:p><w:pPr><w:pStyle w:val="Normal"/></w:pPr><w:r><w:rPr><w:color w:val="2C3E50"/><w:sz w:val="22"/><w:szCs w:val="22"/><w:b w:val="1"/><w:bCs w:val="1"/></w:rPr><w:t xml:space="preserve">For Board Members</w:t></w:r><w:r><w:rPr><w:color w:val="333333"/><w:sz w:val="22"/><w:szCs w:val="22"/></w:rPr><w:t xml:space="preserve">For Board Members</w:t></w:r></w:p><w:p><w:pPr><w:pStyle w:val="ListBullet"/><w:numPr><w:ilvl w:val="0"/><w:numId w:val="8"/></w:numPr></w:pPr><w:r><w:rPr><w:color w:val="333333"/><w:sz w:val="22"/><w:szCs w:val="22"/></w:rPr><w:t xml:space="preserve">Secure, iPad-optimized portal for accessing board papers, notices, and meeting materials</w:t></w:r></w:p><w:p><w:pPr><w:pStyle w:val="ListBullet"/><w:numPr><w:ilvl w:val="0"/><w:numId w:val="8"/></w:numPr></w:pPr><w:r><w:rPr><w:color w:val="333333"/><w:sz w:val="22"/><w:szCs w:val="22"/></w:rPr><w:t xml:space="preserve">Clear view of committee assignments, upcoming meetings, and pending resolutions</w:t></w:r></w:p><w:p><w:pPr><w:pStyle w:val="ListBullet"/><w:numPr><w:ilvl w:val="0"/><w:numId w:val="8"/></w:numPr></w:pPr><w:r><w:rPr><w:color w:val="333333"/><w:sz w:val="22"/><w:szCs w:val="22"/></w:rPr><w:t xml:space="preserve">Digital conflict of interest declaration with OTP verification — no paper forms</w:t></w:r></w:p><w:p><w:pPr><w:pStyle w:val="Normal"/></w:pPr><w:r><w:rPr><w:color w:val="2C3E50"/><w:sz w:val="22"/><w:szCs w:val="22"/><w:b w:val="1"/><w:bCs w:val="1"/></w:rPr><w:t xml:space="preserve">For ICT</w:t></w:r><w:r><w:rPr><w:color w:val="333333"/><w:sz w:val="22"/><w:szCs w:val="22"/></w:rPr><w:t xml:space="preserve">For ICT</w:t></w:r></w:p><w:p><w:pPr><w:pStyle w:val="ListBullet"/><w:numPr><w:ilvl w:val="0"/><w:numId w:val="8"/></w:numPr></w:pPr><w:r><w:rPr><w:color w:val="333333"/><w:sz w:val="22"/><w:szCs w:val="22"/></w:rPr><w:t xml:space="preserve">Self-hosted deployment on standard LAMP/LEMP infrastructure or cloud</w:t></w:r></w:p><w:p><w:pPr><w:pStyle w:val="ListBullet"/><w:numPr><w:ilvl w:val="0"/><w:numId w:val="8"/></w:numPr></w:pPr><w:r><w:rPr><w:color w:val="333333"/><w:sz w:val="22"/><w:szCs w:val="22"/></w:rPr><w:t xml:space="preserve">Built on proven, enterprise-grade technology: Laravel (PHP), MySQL, Bootstrap 5</w:t></w:r></w:p><w:p><w:pPr><w:pStyle w:val="ListBullet"/><w:numPr><w:ilvl w:val="0"/><w:numId w:val="8"/></w:numPr></w:pPr><w:r><w:rPr><w:color w:val="333333"/><w:sz w:val="22"/><w:szCs w:val="22"/></w:rPr><w:t xml:space="preserve">Full white-label branding: logos, colours, favicon, CEO signature, letterhead, login background</w:t></w:r></w:p><w:p><w:pPr><w:pStyle w:val="ListBullet"/><w:numPr><w:ilvl w:val="0"/><w:numId w:val="8"/></w:numPr></w:pPr><w:r><w:rPr><w:color w:val="333333"/><w:sz w:val="22"/><w:szCs w:val="22"/></w:rPr><w:t xml:space="preserve">6-step setup wizard for rapid institutional configuration</w:t></w:r></w:p><w:p><w:pPr><w:pStyle w:val="ListBullet"/><w:numPr><w:ilvl w:val="0"/><w:numId w:val="8"/></w:numPr></w:pPr><w:r><w:rPr><w:color w:val="333333"/><w:sz w:val="22"/><w:szCs w:val="22"/></w:rPr><w:t xml:space="preserve">Granular role-based access control with grouped permission management</w:t></w:r></w:p><w:p><w:pPr><w:pStyle w:val="Heading3"/></w:pPr><w:bookmarkStart w:id="23" w:name="_Toc23"/><w:r><w:t>PAGE 4 — IMPLEMENTATION, SECURITY & CALL TO ACTION</w:t></w:r><w:bookmarkEnd w:id="23"/></w:p><w:p><w:pPr><w:pStyle w:val="Heading2"/></w:pPr><w:bookmarkStart w:id="24" w:name="_Toc24"/><w:r><w:t>Implementation</w:t></w:r><w:bookmarkEnd w:id="24"/></w:p><w:p><w:pPr><w:pStyle w:val="Normal"/></w:pPr><w:r><w:rPr><w:color w:val="333333"/><w:sz w:val="22"/><w:szCs w:val="22"/></w:rPr><w:t xml:space="preserve">E-Board is designed for rapid institutional deployment:</w:t></w:r></w:p><w:p><w:pPr><w:pStyle w:val="ListBullet"/><w:numPr><w:ilvl w:val="0"/><w:numId w:val="9"/></w:numPr></w:pPr><w:r><w:rPr><w:color w:val="2C3E50"/><w:sz w:val="22"/><w:szCs w:val="22"/><w:b w:val="1"/><w:bCs w:val="1"/></w:rPr><w:t xml:space="preserve">Infrastructure Setup</w:t></w:r><w:r><w:rPr><w:color w:val="333333"/><w:sz w:val="22"/><w:szCs w:val="22"/></w:rPr><w:t xml:space="preserve">Infrastructure Setup</w:t></w:r><w:r><w:rPr><w:color w:val="333333"/><w:sz w:val="22"/><w:szCs w:val="22"/></w:rPr><w:t xml:space="preserve"> — Deploy on your institution's existing server infrastructure (LAMP/LEMP) or provision a cloud instance</w:t></w:r></w:p><w:p><w:pPr><w:pStyle w:val="ListBullet"/><w:numPr><w:ilvl w:val="0"/><w:numId w:val="9"/></w:numPr></w:pPr><w:r><w:rPr><w:color w:val="2C3E50"/><w:sz w:val="22"/><w:szCs w:val="22"/><w:b w:val="1"/><w:bCs w:val="1"/></w:rPr><w:t xml:space="preserve">Guided Configuration</w:t></w:r><w:r><w:rPr><w:color w:val="333333"/><w:sz w:val="22"/><w:szCs w:val="22"/></w:rPr><w:t xml:space="preserve">Guided Configuration</w:t></w:r><w:r><w:rPr><w:color w:val="333333"/><w:sz w:val="22"/><w:szCs w:val="22"/></w:rPr><w:t xml:space="preserve"> — 6-step setup wizard configures institutional identity, branding, workflows, role labels, email integration, and administrator accounts</w:t></w:r></w:p><w:p><w:pPr><w:pStyle w:val="ListBullet"/><w:numPr><w:ilvl w:val="0"/><w:numId w:val="9"/></w:numPr></w:pPr><w:r><w:rPr><w:color w:val="2C3E50"/><w:sz w:val="22"/><w:szCs w:val="22"/><w:b w:val="1"/><w:bCs w:val="1"/></w:rPr><w:t xml:space="preserve">White-Label Branding</w:t></w:r><w:r><w:rPr><w:color w:val="333333"/><w:sz w:val="22"/><w:szCs w:val="22"/></w:rPr><w:t xml:space="preserve">White-Label Branding</w:t></w:r><w:r><w:rPr><w:color w:val="333333"/><w:sz w:val="22"/><w:szCs w:val="22"/></w:rPr><w:t xml:space="preserve"> — Apply your institution's logos, colours, favicon, CEO signature, and letterhead for a fully branded experience</w:t></w:r></w:p><w:p><w:pPr><w:pStyle w:val="ListBullet"/><w:numPr><w:ilvl w:val="0"/><w:numId w:val="9"/></w:numPr></w:pPr><w:r><w:rPr><w:color w:val="2C3E50"/><w:sz w:val="22"/><w:szCs w:val="22"/><w:b w:val="1"/><w:bCs w:val="1"/></w:rPr><w:t xml:space="preserve">User Onboarding</w:t></w:r><w:r><w:rPr><w:color w:val="333333"/><w:sz w:val="22"/><w:szCs w:val="22"/></w:rPr><w:t xml:space="preserve">User Onboarding</w:t></w:r><w:r><w:rPr><w:color w:val="333333"/><w:sz w:val="22"/><w:szCs w:val="22"/></w:rPr><w:t xml:space="preserve"> — Configure roles and permissions, register board members with automatic account creation, and conduct user training</w:t></w:r></w:p><w:p><w:pPr><w:pStyle w:val="ListBullet"/><w:numPr><w:ilvl w:val="0"/><w:numId w:val="9"/></w:numPr></w:pPr><w:r><w:rPr><w:color w:val="2C3E50"/><w:sz w:val="22"/><w:szCs w:val="22"/><w:b w:val="1"/><w:bCs w:val="1"/></w:rPr><w:t xml:space="preserve">Go Live</w:t></w:r><w:r><w:rPr><w:color w:val="333333"/><w:sz w:val="22"/><w:szCs w:val="22"/></w:rPr><w:t xml:space="preserve">Go Live</w:t></w:r><w:r><w:rPr><w:color w:val="333333"/><w:sz w:val="22"/><w:szCs w:val="22"/></w:rPr><w:t xml:space="preserve"> — Begin with almanac setup, meeting scheduling, and board paper digitization</w:t></w:r></w:p><w:p><w:pPr><w:pStyle w:val="Normal"/></w:pPr><w:r><w:rPr><w:color w:val="333333"/><w:sz w:val="22"/><w:szCs w:val="22"/></w:rPr><w:t xml:space="preserve">[REQUIRES LOSVINCA INPUT: Typical implementation timeline (e.g., 2-4 weeks), training approach details, ongoing support model]</w:t></w:r></w:p><w:p><w:pPr><w:pStyle w:val="Heading2"/></w:pPr><w:bookmarkStart w:id="25" w:name="_Toc25"/><w:r><w:t>Security & Compliance</w:t></w:r><w:bookmarkEnd w:id="25"/></w:p><w:p><w:pPr><w:pStyle w:val="Normal"/></w:pPr><w:r><w:rPr><w:color w:val="333333"/><w:sz w:val="22"/><w:szCs w:val="22"/></w:rPr><w:t xml:space="preserve">E-Board is built with institutional security requirements at its core:</w:t></w:r></w:p><w:p><w:pPr><w:pStyle w:val="ListBullet"/><w:numPr><w:ilvl w:val="0"/><w:numId w:val="8"/></w:numPr></w:pPr><w:r><w:rPr><w:color w:val="2C3E50"/><w:sz w:val="22"/><w:szCs w:val="22"/><w:b w:val="1"/><w:bCs w:val="1"/></w:rPr><w:t xml:space="preserve">Two-Factor Authentication</w:t></w:r><w:r><w:rPr><w:color w:val="333333"/><w:sz w:val="22"/><w:szCs w:val="22"/></w:rPr><w:t xml:space="preserve">Two-Factor Authentication</w:t></w:r><w:r><w:rPr><w:color w:val="333333"/><w:sz w:val="22"/><w:szCs w:val="22"/></w:rPr><w:t xml:space="preserve"> — OTP-based email verification for sensitive actions</w:t></w:r></w:p><w:p><w:pPr><w:pStyle w:val="ListBullet"/><w:numPr><w:ilvl w:val="0"/><w:numId w:val="8"/></w:numPr></w:pPr><w:r><w:rPr><w:color w:val="2C3E50"/><w:sz w:val="22"/><w:szCs w:val="22"/><w:b w:val="1"/><w:bCs w:val="1"/></w:rPr><w:t xml:space="preserve">Role-Based Access Control</w:t></w:r><w:r><w:rPr><w:color w:val="333333"/><w:sz w:val="22"/><w:szCs w:val="22"/></w:rPr><w:t xml:space="preserve">Role-Based Access Control</w:t></w:r><w:r><w:rPr><w:color w:val="333333"/><w:sz w:val="22"/><w:szCs w:val="22"/></w:rPr><w:t xml:space="preserve"> — 10 defined system roles with granular, configurable permissions</w:t></w:r></w:p><w:p><w:pPr><w:pStyle w:val="ListBullet"/><w:numPr><w:ilvl w:val="0"/><w:numId w:val="8"/></w:numPr></w:pPr><w:r><w:rPr><w:color w:val="2C3E50"/><w:sz w:val="22"/><w:szCs w:val="22"/><w:b w:val="1"/><w:bCs w:val="1"/></w:rPr><w:t xml:space="preserve">Comprehensive Audit Trail</w:t></w:r><w:r><w:rPr><w:color w:val="333333"/><w:sz w:val="22"/><w:szCs w:val="22"/></w:rPr><w:t xml:space="preserve">Comprehensive Audit Trail</w:t></w:r><w:r><w:rPr><w:color w:val="333333"/><w:sz w:val="22"/><w:szCs w:val="22"/></w:rPr><w:t xml:space="preserve"> — Every data change logged with before/after values, user identity, IP address, timestamp, and user agent</w:t></w:r></w:p><w:p><w:pPr><w:pStyle w:val="ListBullet"/><w:numPr><w:ilvl w:val="0"/><w:numId w:val="8"/></w:numPr></w:pPr><w:r><w:rPr><w:color w:val="2C3E50"/><w:sz w:val="22"/><w:szCs w:val="22"/><w:b w:val="1"/><w:bCs w:val="1"/></w:rPr><w:t xml:space="preserve">Account Protection</w:t></w:r><w:r><w:rPr><w:color w:val="333333"/><w:sz w:val="22"/><w:szCs w:val="22"/></w:rPr><w:t xml:space="preserve">Account Protection</w:t></w:r><w:r><w:rPr><w:color w:val="333333"/><w:sz w:val="22"/><w:szCs w:val="22"/></w:rPr><w:t xml:space="preserve"> — Automatic lockout after failed login attempts, forced password change, user status enforcement</w:t></w:r></w:p><w:p><w:pPr><w:pStyle w:val="ListBullet"/><w:numPr><w:ilvl w:val="0"/><w:numId w:val="8"/></w:numPr></w:pPr><w:r><w:rPr><w:color w:val="2C3E50"/><w:sz w:val="22"/><w:szCs w:val="22"/><w:b w:val="1"/><w:bCs w:val="1"/></w:rPr><w:t xml:space="preserve">Document Access Control</w:t></w:r><w:r><w:rPr><w:color w:val="333333"/><w:sz w:val="22"/><w:szCs w:val="22"/></w:rPr><w:t xml:space="preserve">Document Access Control</w:t></w:r><w:r><w:rPr><w:color w:val="333333"/><w:sz w:val="22"/><w:szCs w:val="22"/></w:rPr><w:t xml:space="preserve"> — Three-tier visibility (all members, committee, specific individuals) with download tracking</w:t></w:r></w:p><w:p><w:pPr><w:pStyle w:val="ListBullet"/><w:numPr><w:ilvl w:val="0"/><w:numId w:val="8"/></w:numPr></w:pPr><w:r><w:rPr><w:color w:val="2C3E50"/><w:sz w:val="22"/><w:szCs w:val="22"/><w:b w:val="1"/><w:bCs w:val="1"/></w:rPr><w:t xml:space="preserve">Self-Hosted Option</w:t></w:r><w:r><w:rPr><w:color w:val="333333"/><w:sz w:val="22"/><w:szCs w:val="22"/></w:rPr><w:t xml:space="preserve">Self-Hosted Option</w:t></w:r><w:r><w:rPr><w:color w:val="333333"/><w:sz w:val="22"/><w:szCs w:val="22"/></w:rPr><w:t xml:space="preserve"> — Keep all data within your institution's own infrastructure and security perimeter</w:t></w:r></w:p><w:p><w:pPr><w:pStyle w:val="ListBullet"/><w:numPr><w:ilvl w:val="0"/><w:numId w:val="8"/></w:numPr></w:pPr><w:r><w:rPr><w:color w:val="2C3E50"/><w:sz w:val="22"/><w:szCs w:val="22"/><w:b w:val="1"/><w:bCs w:val="1"/></w:rPr><w:t xml:space="preserve">Digital Signatures</w:t></w:r><w:r><w:rPr><w:color w:val="333333"/><w:sz w:val="22"/><w:szCs w:val="22"/></w:rPr><w:t xml:space="preserve">Digital Signatures</w:t></w:r><w:r><w:rPr><w:color w:val="333333"/><w:sz w:val="22"/><w:szCs w:val="22"/></w:rPr><w:t xml:space="preserve"> — Signature pad capture and PDF signing for authenticated governance records</w:t></w:r></w:p><w:p><w:pPr><w:pStyle w:val="Heading2"/></w:pPr><w:bookmarkStart w:id="26" w:name="_Toc26"/><w:r><w:t>Technology</w:t></w:r><w:bookmarkEnd w:id="26"/></w:p><w:tbl><w:tblGrid><w:gridCol/><w:gridCol/></w:tblGrid><w:tblPr><w:tblW w:w="0" w:type="auto"/><w:tblLayout w:type="autofit"/><w:bidiVisual w:val="0"/><w:tblCellMar><w:top w:w="60" w:type="dxa"/><w:left w:w="60" w:type="dxa"/><w:right w:w="60" w:type="dxa"/><w:bottom w:w="60" w:type="dxa"/></w:tblCellMar><w:tblBorders><w:top w:val="single" w:sz="4" w:color="CCCCCC"/><w:left w:val="single" w:sz="4" w:color="CCCCCC"/><w:right w:val="single" w:sz="4" w:color="CCCCCC"/><w:bottom w:val="single" w:sz="4" w:color="CCCCCC"/><w:insideH w:val="single" w:sz="4" w:color="CCCCCC"/><w:insideV w:val="single" w:sz="4" w:color="CCCCCC"/></w:tblBorders></w:tblPr><w:tr><w:trPr/><w:tc><w:tcPr><w:vAlign w:val="top"/><w:shd w:val="clear" w:fill="1B4F72"/></w:tcPr><w:p><w:pPr><w:spacing w:after="20"/></w:pPr><w:r><w:rPr><w:color w:val="FFFFFF"/><w:sz w:val="18"/><w:szCs w:val="18"/><w:b w:val="1"/><w:bCs w:val="1"/></w:rPr><w:t xml:space="preserve">Component</w:t></w:r></w:p></w:tc><w:tc><w:tcPr><w:vAlign w:val="top"/><w:shd w:val="clear" w:fill="1B4F72"/></w:tcPr><w:p><w:pPr><w:spacing w:after="20"/></w:pPr><w:r><w:rPr><w:color w:val="FFFFFF"/><w:sz w:val="18"/><w:szCs w:val="18"/><w:b w:val="1"/><w:bCs w:val="1"/></w:rPr><w:t xml:space="preserve">Technology</w:t></w:r></w:p></w:tc></w:tr><w:tr><w:trPr/><w:tc><w:tcPr><w:vAlign w:val="top"/></w:tcPr><w:p><w:pPr><w:spacing w:after="20"/></w:pPr><w:r><w:rPr><w:color w:val="333333"/><w:sz w:val="18"/><w:szCs w:val="18"/></w:rPr><w:t xml:space="preserve">Application Framework</w:t></w:r></w:p></w:tc><w:tc><w:tcPr><w:vAlign w:val="top"/></w:tcPr><w:p><w:pPr><w:spacing w:after="20"/></w:pPr><w:r><w:rPr><w:color w:val="333333"/><w:sz w:val="18"/><w:szCs w:val="18"/></w:rPr><w:t xml:space="preserve">Laravel 9/10 (PHP 8+)</w:t></w:r></w:p></w:tc></w:tr><w:tr><w:trPr/><w:tc><w:tcPr><w:vAlign w:val="top"/><w:shd w:val="clear" w:fill="F8F9FA"/></w:tcPr><w:p><w:pPr><w:spacing w:after="20"/></w:pPr><w:r><w:rPr><w:color w:val="333333"/><w:sz w:val="18"/><w:szCs w:val="18"/></w:rPr><w:t xml:space="preserve">Database</w:t></w:r></w:p></w:tc><w:tc><w:tcPr><w:vAlign w:val="top"/><w:shd w:val="clear" w:fill="F8F9FA"/></w:tcPr><w:p><w:pPr><w:spacing w:after="20"/></w:pPr><w:r><w:rPr><w:color w:val="333333"/><w:sz w:val="18"/><w:szCs w:val="18"/></w:rPr><w:t xml:space="preserve">MySQL</w:t></w:r></w:p></w:tc></w:tr><w:tr><w:trPr/><w:tc><w:tcPr><w:vAlign w:val="top"/></w:tcPr><w:p><w:pPr><w:spacing w:after="20"/></w:pPr><w:r><w:rPr><w:color w:val="333333"/><w:sz w:val="18"/><w:szCs w:val="18"/></w:rPr><w:t xml:space="preserve">Frontend</w:t></w:r></w:p></w:tc><w:tc><w:tcPr><w:vAlign w:val="top"/></w:tcPr><w:p><w:pPr><w:spacing w:after="20"/></w:pPr><w:r><w:rPr><w:color w:val="333333"/><w:sz w:val="18"/><w:szCs w:val="18"/></w:rPr><w:t xml:space="preserve">Bootstrap 5, Alpine.js, Tailwind CSS</w:t></w:r></w:p></w:tc></w:tr><w:tr><w:trPr/><w:tc><w:tcPr><w:vAlign w:val="top"/><w:shd w:val="clear" w:fill="F8F9FA"/></w:tcPr><w:p><w:pPr><w:spacing w:after="20"/></w:pPr><w:r><w:rPr><w:color w:val="333333"/><w:sz w:val="18"/><w:szCs w:val="18"/></w:rPr><w:t xml:space="preserve">Hosting</w:t></w:r></w:p></w:tc><w:tc><w:tcPr><w:vAlign w:val="top"/><w:shd w:val="clear" w:fill="F8F9FA"/></w:tcPr><w:p><w:pPr><w:spacing w:after="20"/></w:pPr><w:r><w:rPr><w:color w:val="333333"/><w:sz w:val="18"/><w:szCs w:val="18"/></w:rPr><w:t xml:space="preserve">Self-hosted (LAMP/LEMP) or cloud deployable</w:t></w:r></w:p></w:tc></w:tr><w:tr><w:trPr/><w:tc><w:tcPr><w:vAlign w:val="top"/></w:tcPr><w:p><w:pPr><w:spacing w:after="20"/></w:pPr><w:r><w:rPr><w:color w:val="333333"/><w:sz w:val="18"/><w:szCs w:val="18"/></w:rPr><w:t xml:space="preserve">Authentication</w:t></w:r></w:p></w:tc><w:tc><w:tcPr><w:vAlign w:val="top"/></w:tcPr><w:p><w:pPr><w:spacing w:after="20"/></w:pPr><w:r><w:rPr><w:color w:val="333333"/><w:sz w:val="18"/><w:szCs w:val="18"/></w:rPr><w:t xml:space="preserve">OTP-based 2FA, session management</w:t></w:r></w:p></w:tc></w:tr><w:tr><w:trPr/><w:tc><w:tcPr><w:vAlign w:val="top"/><w:shd w:val="clear" w:fill="F8F9FA"/></w:tcPr><w:p><w:pPr><w:spacing w:after="20"/></w:pPr><w:r><w:rPr><w:color w:val="333333"/><w:sz w:val="18"/><w:szCs w:val="18"/></w:rPr><w:t xml:space="preserve">Authorization</w:t></w:r></w:p></w:tc><w:tc><w:tcPr><w:vAlign w:val="top"/><w:shd w:val="clear" w:fill="F8F9FA"/></w:tcPr><w:p><w:pPr><w:spacing w:after="20"/></w:pPr><w:r><w:rPr><w:color w:val="333333"/><w:sz w:val="18"/><w:szCs w:val="18"/></w:rPr><w:t xml:space="preserve">Spatie role-based permission system</w:t></w:r></w:p></w:tc></w:tr></w:tbl><w:p><w:pPr><w:pStyle w:val="Heading2"/></w:pPr><w:bookmarkStart w:id="27" w:name="_Toc27"/><w:r><w:t>Get Started</w:t></w:r><w:bookmarkEnd w:id="27"/></w:p><w:p><w:pPr><w:pStyle w:val="Normal"/></w:pPr><w:r><w:rPr><w:color w:val="2C3E50"/><w:sz w:val="22"/><w:szCs w:val="22"/><w:b w:val="1"/><w:bCs w:val="1"/></w:rPr><w:t xml:space="preserve">Request a Demonstration</w:t></w:r><w:r><w:rPr><w:color w:val="333333"/><w:sz w:val="22"/><w:szCs w:val="22"/></w:rPr><w:t xml:space="preserve">Request a Demonstration</w:t></w:r></w:p><w:p><w:pPr><w:pStyle w:val="Normal"/></w:pPr><w:r><w:rPr><w:color w:val="333333"/><w:sz w:val="22"/><w:szCs w:val="22"/></w:rPr><w:t xml:space="preserve">See E-Board in action with a guided walkthrough tailored to your institution's governance requirements.</w:t></w:r></w:p><w:p><w:pPr><w:pStyle w:val="Normal"/></w:pPr><w:r><w:rPr><w:color w:val="333333"/><w:sz w:val="22"/><w:szCs w:val="22"/></w:rPr><w:t xml:space="preserve">[REQUIRES LOSVINCA INPUT: Contact details — phone number, email address, website URL]</w:t></w:r></w:p><w:p><w:pPr><w:pStyle w:val="Normal"/></w:pPr><w:r><w:rPr><w:color w:val="2C3E50"/><w:sz w:val="22"/><w:szCs w:val="22"/><w:b w:val="1"/><w:bCs w:val="1"/></w:rPr><w:t xml:space="preserve">Contact Losvinca</w:t></w:r><w:r><w:rPr><w:color w:val="333333"/><w:sz w:val="22"/><w:szCs w:val="22"/></w:rPr><w:t xml:space="preserve">Contact Losvinca</w:t></w:r></w:p><w:p><w:pPr><w:pStyle w:val="ListBullet"/><w:numPr><w:ilvl w:val="0"/><w:numId w:val="8"/></w:numPr></w:pPr><w:r><w:rPr><w:color w:val="333333"/><w:sz w:val="22"/><w:szCs w:val="22"/></w:rPr><w:t xml:space="preserve">Phone: </w:t></w:r><w:r><w:rPr><w:color w:val="FFFFFF"/><w:sz w:val="16"/><w:szCs w:val="16"/><w:b w:val="1"/><w:bCs w:val="1"/><w:shd w:val="clear" w:fill="E67E22"/></w:rPr><w:t xml:space="preserve"> REQUIRES LOSVINCA INPUT </w:t></w:r></w:p><w:p><w:pPr><w:pStyle w:val="ListBullet"/><w:numPr><w:ilvl w:val="0"/><w:numId w:val="8"/></w:numPr></w:pPr><w:r><w:rPr><w:color w:val="333333"/><w:sz w:val="22"/><w:szCs w:val="22"/></w:rPr><w:t xml:space="preserve">Email: </w:t></w:r><w:r><w:rPr><w:color w:val="FFFFFF"/><w:sz w:val="16"/><w:szCs w:val="16"/><w:b w:val="1"/><w:bCs w:val="1"/><w:shd w:val="clear" w:fill="E67E22"/></w:rPr><w:t xml:space="preserve"> REQUIRES LOSVINCA INPUT </w:t></w:r></w:p><w:p><w:pPr><w:pStyle w:val="ListBullet"/><w:numPr><w:ilvl w:val="0"/><w:numId w:val="8"/></w:numPr></w:pPr><w:r><w:rPr><w:color w:val="333333"/><w:sz w:val="22"/><w:szCs w:val="22"/></w:rPr><w:t xml:space="preserve">Website: </w:t></w:r><w:r><w:rPr><w:color w:val="FFFFFF"/><w:sz w:val="16"/><w:szCs w:val="16"/><w:b w:val="1"/><w:bCs w:val="1"/><w:shd w:val="clear" w:fill="E67E22"/></w:rPr><w:t xml:space="preserve"> REQUIRES LOSVINCA INPUT </w:t></w:r></w:p><w:p><w:pPr><w:pStyle w:val="Normal"/></w:pPr><w:r><w:rPr><w:color w:val="333333"/><w:sz w:val="22"/><w:szCs w:val="22"/><w:i w:val="1"/><w:iCs w:val="1"/></w:rPr><w:t xml:space="preserve">E-Board is developed and supported by Losvinca.</w:t></w:r><w:r><w:rPr><w:color w:val="333333"/><w:sz w:val="22"/><w:szCs w:val="22"/></w:rPr><w:t xml:space="preserve">E-Board is developed and supported by Losvinca.</w:t></w:r></w:p><w:p><w:pPr><w:pStyle w:val="Normal"/></w:pPr><w:r><w:rPr><w:color w:val="333333"/><w:sz w:val="22"/><w:szCs w:val="22"/></w:rPr><w:t xml:space="preserve">[REQUIRES LOSVINCA INPUT: Company registration details, physical address, any relevant certifications or partnerships]</w:t></w:r></w:p><w:p><w:pPr><w:pStyle w:val="Heading2"/></w:pPr><w:bookmarkStart w:id="28" w:name="_Toc28"/><w:r><w:t>DESIGNER NOTES</w:t></w:r><w:bookmarkEnd w:id="28"/></w:p><w:p><w:pPr><w:pStyle w:val="ListBullet"/><w:numPr><w:ilvl w:val="0"/><w:numId w:val="8"/></w:numPr></w:pPr><w:r><w:rPr><w:color w:val="2C3E50"/><w:sz w:val="22"/><w:szCs w:val="22"/><w:b w:val="1"/><w:bCs w:val="1"/></w:rPr><w:t xml:space="preserve">Page 1 (Cover):</w:t></w:r><w:r><w:rPr><w:color w:val="333333"/><w:sz w:val="22"/><w:szCs w:val="22"/></w:rPr><w:t xml:space="preserve">Page 1 (Cover):</w:t></w:r><w:r><w:rPr><w:color w:val="333333"/><w:sz w:val="22"/><w:szCs w:val="22"/></w:rPr><w:t xml:space="preserve"> Clean, institutional design. Product logo prominent. Consider a subtle background image of a formal boardroom or government building. Colours should reflect institutional professionalism — navy, dark green, or similar.</w:t></w:r></w:p><w:p><w:pPr><w:pStyle w:val="ListBullet"/><w:numPr><w:ilvl w:val="0"/><w:numId w:val="8"/></w:numPr></w:pPr><w:r><w:rPr><w:color w:val="2C3E50"/><w:sz w:val="22"/><w:szCs w:val="22"/><w:b w:val="1"/><w:bCs w:val="1"/></w:rPr><w:t xml:space="preserve">Page 2 (Challenge/Solution):</w:t></w:r><w:r><w:rPr><w:color w:val="333333"/><w:sz w:val="22"/><w:szCs w:val="22"/></w:rPr><w:t xml:space="preserve">Page 2 (Challenge/Solution):</w:t></w:r><w:r><w:rPr><w:color w:val="333333"/><w:sz w:val="22"/><w:szCs w:val="22"/></w:rPr><w:t xml:space="preserve"> Two-column layout recommended. Challenge on left with problem iconography, solution on right.</w:t></w:r></w:p><w:p><w:pPr><w:pStyle w:val="ListBullet"/><w:numPr><w:ilvl w:val="0"/><w:numId w:val="8"/></w:numPr></w:pPr><w:r><w:rPr><w:color w:val="2C3E50"/><w:sz w:val="22"/><w:szCs w:val="22"/><w:b w:val="1"/><w:bCs w:val="1"/></w:rPr><w:t xml:space="preserve">Page 3 (Capabilities/Benefits):</w:t></w:r><w:r><w:rPr><w:color w:val="333333"/><w:sz w:val="22"/><w:szCs w:val="22"/></w:rPr><w:t xml:space="preserve">Page 3 (Capabilities/Benefits):</w:t></w:r><w:r><w:rPr><w:color w:val="333333"/><w:sz w:val="22"/><w:szCs w:val="22"/></w:rPr><w:t xml:space="preserve"> This is the densest page. Use icons for each capability category. Consider a fold-out or use both sides of an inner spread. Benefits section can use coloured cards or callout boxes for each stakeholder.</w:t></w:r></w:p><w:p><w:pPr><w:pStyle w:val="ListBullet"/><w:numPr><w:ilvl w:val="0"/><w:numId w:val="8"/></w:numPr></w:pPr><w:r><w:rPr><w:color w:val="2C3E50"/><w:sz w:val="22"/><w:szCs w:val="22"/><w:b w:val="1"/><w:bCs w:val="1"/></w:rPr><w:t xml:space="preserve">Page 4 (Implementation/Security/CTA):</w:t></w:r><w:r><w:rPr><w:color w:val="333333"/><w:sz w:val="22"/><w:szCs w:val="22"/></w:rPr><w:t xml:space="preserve">Page 4 (Implementation/Security/CTA):</w:t></w:r><w:r><w:rPr><w:color w:val="333333"/><w:sz w:val="22"/><w:szCs w:val="22"/></w:rPr><w:t xml:space="preserve"> Implementation as a numbered timeline graphic. Security as shield/lock iconography. CTA should be prominent with clear contact information.</w:t></w:r></w:p><w:p><w:pPr><w:pStyle w:val="ListBullet"/><w:numPr><w:ilvl w:val="0"/><w:numId w:val="8"/></w:numPr></w:pPr><w:r><w:rPr><w:color w:val="2C3E50"/><w:sz w:val="22"/><w:szCs w:val="22"/><w:b w:val="1"/><w:bCs w:val="1"/></w:rPr><w:t xml:space="preserve">General:</w:t></w:r><w:r><w:rPr><w:color w:val="333333"/><w:sz w:val="22"/><w:szCs w:val="22"/></w:rPr><w:t xml:space="preserve">General:</w:t></w:r><w:r><w:rPr><w:color w:val="333333"/><w:sz w:val="22"/><w:szCs w:val="22"/></w:rPr><w:t xml:space="preserve"> Use professional photography of boardroom settings, government buildings, or formal meeting environments. Avoid stock photos that appear generic or non-African. All imagery should reflect the Kenyan/African institutional context.</w:t></w:r></w:p><w:sectPr><w:headerReference w:type="default" r:id="rId7"/><w:footerReference w:type="default" r:id="rId8"/><w:pgSz w:orient="portrait" w:w="11905.511811023622" w:h="16837.79527559055"/><w:pgMar w:top="1134" w:right="1134" w:bottom="1134" w:left="1134" w:header="720" w:footer="720" w:gutter="0"/><w:cols w:num="1" w:space="720"/></w:sectPr></w:body></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pPr>
    <w:r>
      <w:rPr>
        <w:color w:val="999999"/>
        <w:sz w:val="16"/>
        <w:szCs w:val="16"/>
      </w:rPr>
      <w:t xml:space="preserve">CONFIDENTIAL | Losvinca E-Board Sales Kit | Page </w:t>
    </w:r>
    <w:r>
      <w:fldChar w:fldCharType="begin"/>
    </w:r>
    <w:r>
      <w:rPr>
        <w:color w:val="999999"/>
        <w:sz w:val="16"/>
        <w:szCs w:val="16"/>
      </w:rPr>
      <w:instrText xml:space="preserve">PAGE</w:instrText>
    </w:r>
    <w:r>
      <w:fldChar w:fldCharType="separate"/>
    </w:r>
    <w:r>
      <w:fldChar w:fldCharType="end"/>
    </w:r>
    <w:r>
      <w:rPr>
        <w:color w:val="999999"/>
        <w:sz w:val="16"/>
        <w:szCs w:val="16"/>
      </w:rPr>
      <w:t xml:space="preserve"> of </w:t>
    </w:r>
    <w:r>
      <w:fldChar w:fldCharType="begin"/>
    </w:r>
    <w:r>
      <w:rPr>
        <w:color w:val="999999"/>
        <w:sz w:val="16"/>
        <w:szCs w:val="16"/>
      </w:rPr>
      <w:instrText xml:space="preserve">NUMPAGES</w:instrText>
    </w:r>
    <w:r>
      <w:fldChar w:fldCharType="separate"/>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right"/>
    </w:pPr>
    <w:r>
      <w:rPr>
        <w:color w:val="2E86C1"/>
        <w:sz w:val="16"/>
        <w:szCs w:val="16"/>
        <w:i w:val="1"/>
        <w:iCs w:val="1"/>
      </w:rPr>
      <w:t xml:space="preserve">E-Board by Losvinca — Digital Board Governance Platform</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8">
    <w:nsid w:val="3061546A"/>
    <w:multiLevelType w:val="hybridMultilevel"/>
    <w:lvl w:ilvl="0">
      <w:start w:val="1"/>
      <w:numFmt w:val="bullet"/>
      <w:suff w:val="tab"/>
      <w:lvlText w:val=""/>
      <w:lvlJc w:val="left"/>
      <w:pPr>
        <w:tabs>
          <w:tab w:val="num" w:pos="720"/>
        </w:tabs>
        <w:ind w:left="720" w:hanging="360"/>
      </w:pPr>
      <w:rPr>
        <w:rFonts w:ascii="Symbol" w:hAnsi="Symbol" w:cs="Symbol" w:hint="default"/>
      </w:rPr>
    </w:lvl>
    <w:lvl w:ilvl="1">
      <w:start w:val="1"/>
      <w:numFmt w:val="bullet"/>
      <w:suff w:val="tab"/>
      <w:lvlText w:val="o"/>
      <w:lvlJc w:val="left"/>
      <w:pPr>
        <w:tabs>
          <w:tab w:val="num" w:pos="1440"/>
        </w:tabs>
        <w:ind w:left="1440" w:hanging="360"/>
      </w:pPr>
      <w:rPr>
        <w:rFonts w:ascii="Courier New" w:hAnsi="Courier New" w:cs="Courier New" w:hint="default"/>
      </w:rPr>
    </w:lvl>
    <w:lvl w:ilvl="2">
      <w:start w:val="1"/>
      <w:numFmt w:val="bullet"/>
      <w:suff w:val="tab"/>
      <w:lvlText w:val=""/>
      <w:lvlJc w:val="left"/>
      <w:pPr>
        <w:tabs>
          <w:tab w:val="num" w:pos="2160"/>
        </w:tabs>
        <w:ind w:left="2160" w:hanging="360"/>
      </w:pPr>
      <w:rPr>
        <w:rFonts w:ascii="Wingdings" w:hAnsi="Wingdings" w:cs="Wingdings" w:hint="default"/>
      </w:rPr>
    </w:lvl>
    <w:lvl w:ilvl="3">
      <w:start w:val="1"/>
      <w:numFmt w:val="bullet"/>
      <w:suff w:val="tab"/>
      <w:lvlText w:val=""/>
      <w:lvlJc w:val="left"/>
      <w:pPr>
        <w:tabs>
          <w:tab w:val="num" w:pos="2880"/>
        </w:tabs>
        <w:ind w:left="2880" w:hanging="360"/>
      </w:pPr>
      <w:rPr>
        <w:rFonts w:ascii="Symbol" w:hAnsi="Symbol" w:cs="Symbol" w:hint="default"/>
      </w:rPr>
    </w:lvl>
    <w:lvl w:ilvl="4">
      <w:start w:val="1"/>
      <w:numFmt w:val="bullet"/>
      <w:suff w:val="tab"/>
      <w:lvlText w:val="o"/>
      <w:lvlJc w:val="left"/>
      <w:pPr>
        <w:tabs>
          <w:tab w:val="num" w:pos="3600"/>
        </w:tabs>
        <w:ind w:left="3600" w:hanging="360"/>
      </w:pPr>
      <w:rPr>
        <w:rFonts w:ascii="Courier New" w:hAnsi="Courier New" w:cs="Courier New" w:hint="default"/>
      </w:rPr>
    </w:lvl>
    <w:lvl w:ilvl="5">
      <w:start w:val="1"/>
      <w:numFmt w:val="bullet"/>
      <w:suff w:val="tab"/>
      <w:lvlText w:val=""/>
      <w:lvlJc w:val="left"/>
      <w:pPr>
        <w:tabs>
          <w:tab w:val="num" w:pos="4320"/>
        </w:tabs>
        <w:ind w:left="4320" w:hanging="360"/>
      </w:pPr>
      <w:rPr>
        <w:rFonts w:ascii="Wingdings" w:hAnsi="Wingdings" w:cs="Wingdings" w:hint="default"/>
      </w:rPr>
    </w:lvl>
    <w:lvl w:ilvl="6">
      <w:start w:val="1"/>
      <w:numFmt w:val="bullet"/>
      <w:suff w:val="tab"/>
      <w:lvlText w:val=""/>
      <w:lvlJc w:val="left"/>
      <w:pPr>
        <w:tabs>
          <w:tab w:val="num" w:pos="5040"/>
        </w:tabs>
        <w:ind w:left="5040" w:hanging="360"/>
      </w:pPr>
      <w:rPr>
        <w:rFonts w:ascii="Symbol" w:hAnsi="Symbol" w:cs="Symbol" w:hint="default"/>
      </w:rPr>
    </w:lvl>
    <w:lvl w:ilvl="7">
      <w:start w:val="1"/>
      <w:numFmt w:val="bullet"/>
      <w:suff w:val="tab"/>
      <w:lvlText w:val="o"/>
      <w:lvlJc w:val="left"/>
      <w:pPr>
        <w:tabs>
          <w:tab w:val="num" w:pos="5760"/>
        </w:tabs>
        <w:ind w:left="5760" w:hanging="360"/>
      </w:pPr>
      <w:rPr>
        <w:rFonts w:ascii="Courier New" w:hAnsi="Courier New" w:cs="Courier New" w:hint="default"/>
      </w:rPr>
    </w:lvl>
    <w:lvl w:ilvl="8">
      <w:start w:val="1"/>
      <w:numFmt w:val="bullet"/>
      <w:suff w:val="tab"/>
      <w:lvlText w:val=""/>
      <w:lvlJc w:val="left"/>
      <w:pPr>
        <w:tabs>
          <w:tab w:val="num" w:pos="6480"/>
        </w:tabs>
        <w:ind w:left="6480" w:hanging="360"/>
      </w:pPr>
      <w:rPr>
        <w:rFonts w:ascii="Wingdings" w:hAnsi="Wingdings" w:cs="Wingdings" w:hint="default"/>
      </w:rPr>
    </w:lvl>
  </w:abstractNum>
  <w:abstractNum w:abstractNumId="9">
    <w:nsid w:val="C74EFB68"/>
    <w:multiLevelType w:val="hybridMultilevel"/>
    <w:lvl w:ilvl="0">
      <w:start w:val="1"/>
      <w:numFmt w:val="decimal"/>
      <w:suff w:val="tab"/>
      <w:lvlText w:val="%1."/>
      <w:lvlJc w:val="left"/>
      <w:pPr>
        <w:tabs>
          <w:tab w:val="num" w:pos="720"/>
        </w:tabs>
        <w:ind w:left="720" w:hanging="360"/>
      </w:pPr>
      <w:rPr>
        <w:rFonts w:ascii="" w:hAnsi="" w:cs="" w:hint="default"/>
      </w:rPr>
    </w:lvl>
    <w:lvl w:ilvl="1">
      <w:start w:val="1"/>
      <w:numFmt w:val="bullet"/>
      <w:suff w:val="tab"/>
      <w:lvlText w:val="o"/>
      <w:lvlJc w:val="left"/>
      <w:pPr>
        <w:tabs>
          <w:tab w:val="num" w:pos="1440"/>
        </w:tabs>
        <w:ind w:left="1440" w:hanging="360"/>
      </w:pPr>
      <w:rPr>
        <w:rFonts w:ascii="Courier New" w:hAnsi="Courier New" w:cs="Courier New" w:hint="default"/>
      </w:rPr>
    </w:lvl>
    <w:lvl w:ilvl="2">
      <w:start w:val="1"/>
      <w:numFmt w:val="bullet"/>
      <w:suff w:val="tab"/>
      <w:lvlText w:val=""/>
      <w:lvlJc w:val="left"/>
      <w:pPr>
        <w:tabs>
          <w:tab w:val="num" w:pos="2160"/>
        </w:tabs>
        <w:ind w:left="2160" w:hanging="360"/>
      </w:pPr>
      <w:rPr>
        <w:rFonts w:ascii="Wingdings" w:hAnsi="Wingdings" w:cs="Wingdings" w:hint="default"/>
      </w:rPr>
    </w:lvl>
    <w:lvl w:ilvl="3">
      <w:start w:val="1"/>
      <w:numFmt w:val="bullet"/>
      <w:suff w:val="tab"/>
      <w:lvlText w:val=""/>
      <w:lvlJc w:val="left"/>
      <w:pPr>
        <w:tabs>
          <w:tab w:val="num" w:pos="2880"/>
        </w:tabs>
        <w:ind w:left="2880" w:hanging="360"/>
      </w:pPr>
      <w:rPr>
        <w:rFonts w:ascii="Symbol" w:hAnsi="Symbol" w:cs="Symbol" w:hint="default"/>
      </w:rPr>
    </w:lvl>
    <w:lvl w:ilvl="4">
      <w:start w:val="1"/>
      <w:numFmt w:val="bullet"/>
      <w:suff w:val="tab"/>
      <w:lvlText w:val="o"/>
      <w:lvlJc w:val="left"/>
      <w:pPr>
        <w:tabs>
          <w:tab w:val="num" w:pos="3600"/>
        </w:tabs>
        <w:ind w:left="3600" w:hanging="360"/>
      </w:pPr>
      <w:rPr>
        <w:rFonts w:ascii="Courier New" w:hAnsi="Courier New" w:cs="Courier New" w:hint="default"/>
      </w:rPr>
    </w:lvl>
    <w:lvl w:ilvl="5">
      <w:start w:val="1"/>
      <w:numFmt w:val="bullet"/>
      <w:suff w:val="tab"/>
      <w:lvlText w:val=""/>
      <w:lvlJc w:val="left"/>
      <w:pPr>
        <w:tabs>
          <w:tab w:val="num" w:pos="4320"/>
        </w:tabs>
        <w:ind w:left="4320" w:hanging="360"/>
      </w:pPr>
      <w:rPr>
        <w:rFonts w:ascii="Wingdings" w:hAnsi="Wingdings" w:cs="Wingdings" w:hint="default"/>
      </w:rPr>
    </w:lvl>
    <w:lvl w:ilvl="6">
      <w:start w:val="1"/>
      <w:numFmt w:val="bullet"/>
      <w:suff w:val="tab"/>
      <w:lvlText w:val=""/>
      <w:lvlJc w:val="left"/>
      <w:pPr>
        <w:tabs>
          <w:tab w:val="num" w:pos="5040"/>
        </w:tabs>
        <w:ind w:left="5040" w:hanging="360"/>
      </w:pPr>
      <w:rPr>
        <w:rFonts w:ascii="Symbol" w:hAnsi="Symbol" w:cs="Symbol" w:hint="default"/>
      </w:rPr>
    </w:lvl>
    <w:lvl w:ilvl="7">
      <w:start w:val="1"/>
      <w:numFmt w:val="bullet"/>
      <w:suff w:val="tab"/>
      <w:lvlText w:val="o"/>
      <w:lvlJc w:val="left"/>
      <w:pPr>
        <w:tabs>
          <w:tab w:val="num" w:pos="5760"/>
        </w:tabs>
        <w:ind w:left="5760" w:hanging="360"/>
      </w:pPr>
      <w:rPr>
        <w:rFonts w:ascii="Courier New" w:hAnsi="Courier New" w:cs="Courier New" w:hint="default"/>
      </w:rPr>
    </w:lvl>
    <w:lvl w:ilvl="8">
      <w:start w:val="1"/>
      <w:numFmt w:val="bullet"/>
      <w:suff w:val="tab"/>
      <w:lvlText w:val=""/>
      <w:lvlJc w:val="left"/>
      <w:pPr>
        <w:tabs>
          <w:tab w:val="num" w:pos="6480"/>
        </w:tabs>
        <w:ind w:left="6480" w:hanging="360"/>
      </w:pPr>
      <w:rPr>
        <w:rFonts w:ascii="Wingdings" w:hAnsi="Wingdings" w:cs="Wingdings" w:hint="default"/>
      </w:rPr>
    </w:lvl>
  </w:abstractNum>
  <w:num w:numId="8">
    <w:abstractNumId w:val="8"/>
  </w:num>
  <w:num w:numId="9">
    <w:abstractNumId w:val="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Calibri" w:hAnsi="Calibri" w:eastAsia="Calibri" w:cs="Calibri"/>
        <w:sz w:val="22"/>
        <w:szCs w:val="22"/>
        <w:lang w:val="en-US"/>
      </w:rPr>
    </w:rPrDefault>
  </w:docDefaults>
  <w:style w:type="paragraph" w:default="1" w:styleId="Normal">
    <w:name w:val="Normal"/>
    <w:pPr>
      <w:spacing w:after="80" w:line="276" w:lineRule="auto"/>
    </w:pPr>
  </w:style>
  <w:style w:type="character" w:styleId="FootnoteReference">
    <w:name w:val="Footnote Reference"/>
    <w:semiHidden/>
    <w:unhideWhenUsed/>
    <w:rPr>
      <w:vertAlign w:val="superscript"/>
    </w:rPr>
  </w:style>
  <w:style w:type="paragraph" w:styleId="Heading1">
    <w:link w:val="Heading1Char"/>
    <w:name w:val="heading 1"/>
    <w:basedOn w:val="Normal"/>
    <w:pPr>
      <w:spacing w:before="240" w:after="120"/>
    </w:pPr>
    <w:rPr>
      <w:color w:val="1B4F72"/>
      <w:sz w:val="44"/>
      <w:szCs w:val="44"/>
      <w:b w:val="1"/>
      <w:bCs w:val="1"/>
    </w:rPr>
  </w:style>
  <w:style w:type="paragraph" w:styleId="Heading2">
    <w:link w:val="Heading2Char"/>
    <w:name w:val="heading 2"/>
    <w:basedOn w:val="Normal"/>
    <w:pPr>
      <w:spacing w:before="240" w:after="80"/>
      <w:pBdr>
        <w:bottom w:val="single" w:sz="6" w:color="AED6F1"/>
      </w:pBdr>
    </w:pPr>
    <w:rPr>
      <w:color w:val="1B4F72"/>
      <w:sz w:val="32"/>
      <w:szCs w:val="32"/>
      <w:b w:val="1"/>
      <w:bCs w:val="1"/>
    </w:rPr>
  </w:style>
  <w:style w:type="paragraph" w:styleId="Heading3">
    <w:link w:val="Heading3Char"/>
    <w:name w:val="heading 3"/>
    <w:basedOn w:val="Normal"/>
    <w:pPr>
      <w:spacing w:before="200" w:after="60"/>
    </w:pPr>
    <w:rPr>
      <w:color w:val="2E86C1"/>
      <w:sz w:val="26"/>
      <w:szCs w:val="26"/>
      <w:b w:val="1"/>
      <w:bCs w:val="1"/>
    </w:rPr>
  </w:style>
  <w:style w:type="paragraph" w:styleId="Heading4">
    <w:link w:val="Heading4Char"/>
    <w:name w:val="heading 4"/>
    <w:basedOn w:val="Normal"/>
    <w:pPr>
      <w:spacing w:before="160" w:after="40"/>
    </w:pPr>
    <w:rPr>
      <w:color w:val="2C3E50"/>
      <w:sz w:val="22"/>
      <w:szCs w:val="22"/>
      <w:b w:val="1"/>
      <w:bCs w:val="1"/>
    </w:rPr>
  </w:style>
  <w:style w:type="paragraph" w:customStyle="1" w:styleId="Quote">
    <w:name w:val="Quote"/>
    <w:basedOn w:val="Normal"/>
    <w:pPr>
      <w:ind w:left="480" w:right="0"/>
      <w:spacing w:after="80"/>
      <w:pBdr>
        <w:left w:val="single" w:sz="18" w:color="2E86C1"/>
      </w:pBdr>
    </w:pPr>
  </w:style>
  <w:style w:type="paragraph" w:customStyle="1" w:styleId="ListBullet">
    <w:name w:val="ListBullet"/>
    <w:basedOn w:val="Normal"/>
    <w:pPr>
      <w:ind w:left="360" w:right="0" w:hanging="360"/>
      <w:spacing w:after="40" w:line="276" w:lineRule="auto"/>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2026-08-11T10:26:04+02:00</dcterms:created>
  <dcterms:modified xsi:type="dcterms:W3CDTF">2026-08-11T10:26:04+02:00</dcterms:modified>
</cp:coreProperties>
</file>

<file path=docProps/custom.xml><?xml version="1.0" encoding="utf-8"?>
<Properties xmlns="http://schemas.openxmlformats.org/officeDocument/2006/custom-properties" xmlns:vt="http://schemas.openxmlformats.org/officeDocument/2006/docPropsVTypes"/>
</file>