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1" w:name="_Toc1"/>
      <w:r>
        <w:t>PART 7 — CORPORATION SECRETARY ONE-PAGER</w:t>
      </w:r>
      <w:bookmarkEnd w:id="1"/>
    </w:p>
    <w:p>
      <w:pPr>
        <w:pStyle w:val="Normal"/>
      </w:pPr>
      <w:r>
        <w:rPr>
          <w:color w:val="2C3E50"/>
          <w:sz w:val="22"/>
          <w:szCs w:val="22"/>
          <w:b w:val="1"/>
          <w:bCs w:val="1"/>
        </w:rPr>
        <w:t xml:space="preserve">Document Status:</w:t>
      </w:r>
      <w:r>
        <w:rPr>
          <w:color w:val="333333"/>
          <w:sz w:val="22"/>
          <w:szCs w:val="22"/>
        </w:rPr>
        <w:t xml:space="preserve">Document Status:</w:t>
      </w:r>
      <w:r>
        <w:rPr>
          <w:color w:val="333333"/>
          <w:sz w:val="22"/>
          <w:szCs w:val="22"/>
        </w:rPr>
        <w:t xml:space="preserve"> </w:t>
      </w:r>
      <w:r>
        <w:rPr>
          <w:color w:val="FFFFFF"/>
          <w:sz w:val="16"/>
          <w:szCs w:val="16"/>
          <w:b w:val="1"/>
          <w:bCs w:val="1"/>
          <w:shd w:val="clear" w:fill="27AE60"/>
        </w:rPr>
        <w:t xml:space="preserve"> READY TO USE </w:t>
      </w:r>
      <w:r>
        <w:rPr>
          <w:color w:val="333333"/>
          <w:sz w:val="22"/>
          <w:szCs w:val="22"/>
        </w:rPr>
        <w:t xml:space="preserve"> unless marked otherwise</w:t>
      </w:r>
    </w:p>
    <w:p>
      <w:pPr>
        <w:pStyle w:val="Normal"/>
      </w:pPr>
      <w:r>
        <w:rPr>
          <w:color w:val="2C3E50"/>
          <w:sz w:val="22"/>
          <w:szCs w:val="22"/>
          <w:b w:val="1"/>
          <w:bCs w:val="1"/>
        </w:rPr>
        <w:t xml:space="preserve">Prepared by:</w:t>
      </w:r>
      <w:r>
        <w:rPr>
          <w:color w:val="333333"/>
          <w:sz w:val="22"/>
          <w:szCs w:val="22"/>
        </w:rPr>
        <w:t xml:space="preserve">Prepared by:</w:t>
      </w:r>
      <w:r>
        <w:rPr>
          <w:color w:val="333333"/>
          <w:sz w:val="22"/>
          <w:szCs w:val="22"/>
        </w:rPr>
        <w:t xml:space="preserve"> Losvinca</w:t>
      </w:r>
    </w:p>
    <w:p>
      <w:pPr>
        <w:pStyle w:val="Normal"/>
      </w:pPr>
      <w:r>
        <w:rPr>
          <w:color w:val="2C3E50"/>
          <w:sz w:val="22"/>
          <w:szCs w:val="22"/>
          <w:b w:val="1"/>
          <w:bCs w:val="1"/>
        </w:rPr>
        <w:t xml:space="preserve">Target Audience:</w:t>
      </w:r>
      <w:r>
        <w:rPr>
          <w:color w:val="333333"/>
          <w:sz w:val="22"/>
          <w:szCs w:val="22"/>
        </w:rPr>
        <w:t xml:space="preserve">Target Audience:</w:t>
      </w:r>
      <w:r>
        <w:rPr>
          <w:color w:val="333333"/>
          <w:sz w:val="22"/>
          <w:szCs w:val="22"/>
        </w:rPr>
        <w:t xml:space="preserve"> Corporation Secretaries, Board Secretaries, Company Secretaries</w:t>
      </w:r>
    </w:p>
    <w:p>
      <w:pPr>
        <w:pStyle w:val="Normal"/>
      </w:pPr>
      <w:r>
        <w:rPr>
          <w:color w:val="2C3E50"/>
          <w:sz w:val="22"/>
          <w:szCs w:val="22"/>
          <w:b w:val="1"/>
          <w:bCs w:val="1"/>
        </w:rPr>
        <w:t xml:space="preserve">Format:</w:t>
      </w:r>
      <w:r>
        <w:rPr>
          <w:color w:val="333333"/>
          <w:sz w:val="22"/>
          <w:szCs w:val="22"/>
        </w:rPr>
        <w:t xml:space="preserve">Format:</w:t>
      </w:r>
      <w:r>
        <w:rPr>
          <w:color w:val="333333"/>
          <w:sz w:val="22"/>
          <w:szCs w:val="22"/>
        </w:rPr>
        <w:t xml:space="preserve"> Single-page sales sheet (A4 or Letter, one side)</w:t>
      </w:r>
    </w:p>
    <w:p>
      <w:pPr>
        <w:pStyle w:val="Heading2"/>
      </w:pPr>
      <w:bookmarkStart w:id="2" w:name="_Toc2"/>
      <w:r>
        <w:t>ONE-PAGER COPY</w:t>
      </w:r>
      <w:bookmarkEnd w:id="2"/>
    </w:p>
    <w:p>
      <w:pPr>
        <w:pStyle w:val="Heading1"/>
      </w:pPr>
      <w:bookmarkStart w:id="3" w:name="_Toc3"/>
      <w:r>
        <w:t>E-Board for Corporation Secretaries</w:t>
      </w:r>
      <w:bookmarkEnd w:id="3"/>
    </w:p>
    <w:p>
      <w:pPr>
        <w:pStyle w:val="Heading3"/>
      </w:pPr>
      <w:bookmarkStart w:id="4" w:name="_Toc4"/>
      <w:r>
        <w:t>Stop Chasing Papers. Start Governing.</w:t>
      </w:r>
      <w:bookmarkEnd w:id="4"/>
    </w:p>
    <w:p>
      <w:pPr>
        <w:pStyle w:val="Normal"/>
      </w:pPr>
      <w:r>
        <w:rPr>
          <w:color w:val="333333"/>
          <w:sz w:val="22"/>
          <w:szCs w:val="22"/>
        </w:rPr>
        <w:t xml:space="preserve">You coordinate every board meeting, compile every board pack, track every resolution, and maintain every record — yet your tools are email threads, Word documents, shared drives, and paper files. E-Board replaces this fragmented process with a single, structured platform built for exactly the work you do.</w:t>
      </w:r>
    </w:p>
    <w:p>
      <w:pPr>
        <w:pStyle w:val="Heading2"/>
      </w:pPr>
      <w:bookmarkStart w:id="5" w:name="_Toc5"/>
      <w:r>
        <w:t>The Problem You Know Too Well</w:t>
      </w:r>
      <w:bookmarkEnd w:id="5"/>
    </w:p>
    <w:p>
      <w:pPr>
        <w:pStyle w:val="ListBullet"/>
        <w:numPr>
          <w:ilvl w:val="0"/>
          <w:numId w:val="8"/>
        </w:numPr>
      </w:pPr>
      <w:r>
        <w:rPr>
          <w:color w:val="333333"/>
          <w:sz w:val="22"/>
          <w:szCs w:val="22"/>
        </w:rPr>
        <w:t xml:space="preserve">Weeks spent compiling, formatting, and distributing board packs manually</w:t>
      </w:r>
    </w:p>
    <w:p>
      <w:pPr>
        <w:pStyle w:val="ListBullet"/>
        <w:numPr>
          <w:ilvl w:val="0"/>
          <w:numId w:val="8"/>
        </w:numPr>
      </w:pPr>
      <w:r>
        <w:rPr>
          <w:color w:val="333333"/>
          <w:sz w:val="22"/>
          <w:szCs w:val="22"/>
        </w:rPr>
        <w:t xml:space="preserve">Chasing directors and officers for board paper submissions and reviews</w:t>
      </w:r>
    </w:p>
    <w:p>
      <w:pPr>
        <w:pStyle w:val="ListBullet"/>
        <w:numPr>
          <w:ilvl w:val="0"/>
          <w:numId w:val="8"/>
        </w:numPr>
      </w:pPr>
      <w:r>
        <w:rPr>
          <w:color w:val="333333"/>
          <w:sz w:val="22"/>
          <w:szCs w:val="22"/>
        </w:rPr>
        <w:t xml:space="preserve">No reliable way to verify that 10-day notice requirements have been met</w:t>
      </w:r>
    </w:p>
    <w:p>
      <w:pPr>
        <w:pStyle w:val="ListBullet"/>
        <w:numPr>
          <w:ilvl w:val="0"/>
          <w:numId w:val="8"/>
        </w:numPr>
      </w:pPr>
      <w:r>
        <w:rPr>
          <w:color w:val="333333"/>
          <w:sz w:val="22"/>
          <w:szCs w:val="22"/>
        </w:rPr>
        <w:t xml:space="preserve">Conflict of interest declarations managed on paper with no centralized register</w:t>
      </w:r>
    </w:p>
    <w:p>
      <w:pPr>
        <w:pStyle w:val="ListBullet"/>
        <w:numPr>
          <w:ilvl w:val="0"/>
          <w:numId w:val="8"/>
        </w:numPr>
      </w:pPr>
      <w:r>
        <w:rPr>
          <w:color w:val="333333"/>
          <w:sz w:val="22"/>
          <w:szCs w:val="22"/>
        </w:rPr>
        <w:t xml:space="preserve">Meeting minutes drafted in isolation with no direct link to resolutions or action items</w:t>
      </w:r>
    </w:p>
    <w:p>
      <w:pPr>
        <w:pStyle w:val="ListBullet"/>
        <w:numPr>
          <w:ilvl w:val="0"/>
          <w:numId w:val="8"/>
        </w:numPr>
      </w:pPr>
      <w:r>
        <w:rPr>
          <w:color w:val="333333"/>
          <w:sz w:val="22"/>
          <w:szCs w:val="22"/>
        </w:rPr>
        <w:t xml:space="preserve">Board member records scattered across HR files, emails, and filing cabinets</w:t>
      </w:r>
    </w:p>
    <w:p>
      <w:pPr>
        <w:pStyle w:val="ListBullet"/>
        <w:numPr>
          <w:ilvl w:val="0"/>
          <w:numId w:val="8"/>
        </w:numPr>
      </w:pPr>
      <w:r>
        <w:rPr>
          <w:color w:val="333333"/>
          <w:sz w:val="22"/>
          <w:szCs w:val="22"/>
        </w:rPr>
        <w:t xml:space="preserve">No auditable trail proving when documents were shared, reviewed, or approved</w:t>
      </w:r>
    </w:p>
    <w:p>
      <w:pPr>
        <w:pStyle w:val="ListBullet"/>
        <w:numPr>
          <w:ilvl w:val="0"/>
          <w:numId w:val="8"/>
        </w:numPr>
      </w:pPr>
      <w:r>
        <w:rPr>
          <w:color w:val="333333"/>
          <w:sz w:val="22"/>
          <w:szCs w:val="22"/>
        </w:rPr>
        <w:t xml:space="preserve">Annual meeting calendars planned informally with limited CEO coordination</w:t>
      </w:r>
    </w:p>
    <w:p>
      <w:pPr>
        <w:pStyle w:val="Heading2"/>
      </w:pPr>
      <w:bookmarkStart w:id="6" w:name="_Toc6"/>
      <w:r>
        <w:t>How E-Board Solves It</w:t>
      </w:r>
      <w:bookmarkEnd w:id="6"/>
    </w:p>
    <w:p>
      <w:pPr>
        <w:pStyle w:val="Heading3"/>
      </w:pPr>
      <w:bookmarkStart w:id="7" w:name="_Toc7"/>
      <w:r>
        <w:t>1. End-to-End Meeting Workflow [CURRENT PRODUCT CAPABILITY]</w:t>
      </w:r>
      <w:bookmarkEnd w:id="7"/>
    </w:p>
    <w:p>
      <w:pPr>
        <w:pStyle w:val="Normal"/>
      </w:pPr>
      <w:r>
        <w:rPr>
          <w:color w:val="333333"/>
          <w:sz w:val="22"/>
          <w:szCs w:val="22"/>
        </w:rPr>
        <w:t xml:space="preserve">A structured 10-stage process manages the entire meeting lifecycle: initiation, internal notice creation, CEO notice approval, officer assignments, board paper preparation with annexures, director review, CEO review with sticky notes, agenda building, live meeting management, and minutes capture with Word document export.</w:t>
      </w:r>
    </w:p>
    <w:p>
      <w:pPr>
        <w:pStyle w:val="Heading3"/>
      </w:pPr>
      <w:bookmarkStart w:id="8" w:name="_Toc8"/>
      <w:r>
        <w:t>2. Automated Board Notices with Compliance Tracking [CURRENT PRODUCT CAPABILITY]</w:t>
      </w:r>
      <w:bookmarkEnd w:id="8"/>
    </w:p>
    <w:p>
      <w:pPr>
        <w:pStyle w:val="Normal"/>
      </w:pPr>
      <w:r>
        <w:rPr>
          <w:color w:val="333333"/>
          <w:sz w:val="22"/>
          <w:szCs w:val="22"/>
        </w:rPr>
        <w:t xml:space="preserve">Generate formal board notices, route them for CEO approval, and distribute via email — with built-in 10-day advance notice tracking to ensure compliance with Kenyan governance requirements.</w:t>
      </w:r>
    </w:p>
    <w:p>
      <w:pPr>
        <w:pStyle w:val="Heading3"/>
      </w:pPr>
      <w:bookmarkStart w:id="9" w:name="_Toc9"/>
      <w:r>
        <w:t>3. Multi-Stage Board Paper Review [CURRENT PRODUCT CAPABILITY]</w:t>
      </w:r>
      <w:bookmarkEnd w:id="9"/>
    </w:p>
    <w:p>
      <w:pPr>
        <w:pStyle w:val="Normal"/>
      </w:pPr>
      <w:r>
        <w:rPr>
          <w:color w:val="333333"/>
          <w:sz w:val="22"/>
          <w:szCs w:val="22"/>
        </w:rPr>
        <w:t xml:space="preserve">Officers prepare papers, directors review, and the CEO conducts final review with sticky note annotations. Every version is tracked. Papers can include annexures and can be recalled if needed. Status notifications keep everyone informed.</w:t>
      </w:r>
    </w:p>
    <w:p>
      <w:pPr>
        <w:pStyle w:val="Heading3"/>
      </w:pPr>
      <w:bookmarkStart w:id="10" w:name="_Toc10"/>
      <w:r>
        <w:t>4. Board Resolution Tracking [CURRENT PRODUCT CAPABILITY]</w:t>
      </w:r>
      <w:bookmarkEnd w:id="10"/>
    </w:p>
    <w:p>
      <w:pPr>
        <w:pStyle w:val="Normal"/>
      </w:pPr>
      <w:r>
        <w:rPr>
          <w:color w:val="333333"/>
          <w:sz w:val="22"/>
          <w:szCs w:val="22"/>
        </w:rPr>
        <w:t xml:space="preserve">Create resolutions linked to specific meetings, assign them to responsible officers with due dates, and track status through pending, in progress, completed, and overdue stages. No resolution falls through the cracks.</w:t>
      </w:r>
    </w:p>
    <w:p>
      <w:pPr>
        <w:pStyle w:val="Heading3"/>
      </w:pPr>
      <w:bookmarkStart w:id="11" w:name="_Toc11"/>
      <w:r>
        <w:t>5. Conflict of Interest Register [CURRENT PRODUCT CAPABILITY]</w:t>
      </w:r>
      <w:bookmarkEnd w:id="11"/>
    </w:p>
    <w:p>
      <w:pPr>
        <w:pStyle w:val="Normal"/>
      </w:pPr>
      <w:r>
        <w:rPr>
          <w:color w:val="333333"/>
          <w:sz w:val="22"/>
          <w:szCs w:val="22"/>
        </w:rPr>
        <w:t xml:space="preserve">Board members declare conflicts with OTP verification and digital signature authentication. Export the complete register as PDF or CSV for regulatory reporting and institutional records.</w:t>
      </w:r>
    </w:p>
    <w:p>
      <w:pPr>
        <w:pStyle w:val="Heading3"/>
      </w:pPr>
      <w:bookmarkStart w:id="12" w:name="_Toc12"/>
      <w:r>
        <w:t>6. Comprehensive Board Member Profiles [CURRENT PRODUCT CAPABILITY]</w:t>
      </w:r>
      <w:bookmarkEnd w:id="12"/>
    </w:p>
    <w:p>
      <w:pPr>
        <w:pStyle w:val="Normal"/>
      </w:pPr>
      <w:r>
        <w:rPr>
          <w:color w:val="333333"/>
          <w:sz w:val="22"/>
          <w:szCs w:val="22"/>
        </w:rPr>
        <w:t xml:space="preserve">Maintain complete member records: qualifications, documents, photos, CVs, gazette notices, signature images. Profile completeness scoring highlights gaps. User accounts are created automatically upon registration.</w:t>
      </w:r>
    </w:p>
    <w:p>
      <w:pPr>
        <w:pStyle w:val="Heading3"/>
      </w:pPr>
      <w:bookmarkStart w:id="13" w:name="_Toc13"/>
      <w:r>
        <w:t>7. Almanac Management [CURRENT PRODUCT CAPABILITY]</w:t>
      </w:r>
      <w:bookmarkEnd w:id="13"/>
    </w:p>
    <w:p>
      <w:pPr>
        <w:pStyle w:val="Normal"/>
      </w:pPr>
      <w:r>
        <w:rPr>
          <w:color w:val="333333"/>
          <w:sz w:val="22"/>
          <w:szCs w:val="22"/>
        </w:rPr>
        <w:t xml:space="preserve">Plan the full annual meeting calendar, submit for CEO approval, generate PDF versions, manage revisions, and upload signed copies — all within a single, versioned workflow.</w:t>
      </w:r>
    </w:p>
    <w:p>
      <w:pPr>
        <w:pStyle w:val="Heading3"/>
      </w:pPr>
      <w:bookmarkStart w:id="14" w:name="_Toc14"/>
      <w:r>
        <w:t>8. Document Repository with Access Control [CURRENT PRODUCT CAPABILITY]</w:t>
      </w:r>
      <w:bookmarkEnd w:id="14"/>
    </w:p>
    <w:p>
      <w:pPr>
        <w:pStyle w:val="Normal"/>
      </w:pPr>
      <w:r>
        <w:rPr>
          <w:color w:val="333333"/>
          <w:sz w:val="22"/>
          <w:szCs w:val="22"/>
        </w:rPr>
        <w:t xml:space="preserve">Store board documents in categorized folders with three visibility levels: all members, committee-only, or specific named individuals. Track who has downloaded what.</w:t>
      </w:r>
    </w:p>
    <w:p>
      <w:pPr>
        <w:pStyle w:val="Heading3"/>
      </w:pPr>
      <w:bookmarkStart w:id="15" w:name="_Toc15"/>
      <w:r>
        <w:t>9. Attendance Management [CURRENT PRODUCT CAPABILITY]</w:t>
      </w:r>
      <w:bookmarkEnd w:id="15"/>
    </w:p>
    <w:p>
      <w:pPr>
        <w:pStyle w:val="Normal"/>
      </w:pPr>
      <w:r>
        <w:rPr>
          <w:color w:val="333333"/>
          <w:sz w:val="22"/>
          <w:szCs w:val="22"/>
        </w:rPr>
        <w:t xml:space="preserve">Digital attendance register with OTP verification and digital signatures. Export attendance records as PDF or CSV for institutional record-keeping.</w:t>
      </w:r>
    </w:p>
    <w:p>
      <w:pPr>
        <w:pStyle w:val="Heading3"/>
      </w:pPr>
      <w:bookmarkStart w:id="16" w:name="_Toc16"/>
      <w:r>
        <w:t>10. Complete Audit Trail [CURRENT PRODUCT CAPABILITY]</w:t>
      </w:r>
      <w:bookmarkEnd w:id="16"/>
    </w:p>
    <w:p>
      <w:pPr>
        <w:pStyle w:val="Normal"/>
      </w:pPr>
      <w:r>
        <w:rPr>
          <w:color w:val="333333"/>
          <w:sz w:val="22"/>
          <w:szCs w:val="22"/>
        </w:rPr>
        <w:t xml:space="preserve">Every action is logged automatically — who did what, when, from where, with before-and-after values. Filter by date, user, or action type. Export as PDF for governance reporting or regulatory review.</w:t>
      </w:r>
    </w:p>
    <w:p>
      <w:pPr>
        <w:pStyle w:val="Heading2"/>
      </w:pPr>
      <w:bookmarkStart w:id="17" w:name="_Toc17"/>
      <w:r>
        <w:t>What Changes for You</w:t>
      </w:r>
      <w:bookmarkEnd w:id="17"/>
    </w:p>
    <w:tbl>
      <w:tblGrid>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Before E-Board</w:t>
            </w:r>
          </w:p>
        </w:tc>
        <w:tc>
          <w:tcPr>
            <w:vAlign w:val="top"/>
            <w:shd w:val="clear" w:fill="1B4F72"/>
          </w:tcPr>
          <w:p>
            <w:pPr>
              <w:spacing w:after="20"/>
            </w:pPr>
            <w:r>
              <w:rPr>
                <w:color w:val="FFFFFF"/>
                <w:sz w:val="18"/>
                <w:szCs w:val="18"/>
                <w:b w:val="1"/>
                <w:bCs w:val="1"/>
              </w:rPr>
              <w:t xml:space="preserve">With E-Board</w:t>
            </w:r>
          </w:p>
        </w:tc>
      </w:tr>
      <w:tr>
        <w:trPr/>
        <w:tc>
          <w:tcPr>
            <w:vAlign w:val="top"/>
          </w:tcPr>
          <w:p>
            <w:pPr>
              <w:spacing w:after="20"/>
            </w:pPr>
            <w:r>
              <w:rPr>
                <w:color w:val="333333"/>
                <w:sz w:val="18"/>
                <w:szCs w:val="18"/>
              </w:rPr>
              <w:t xml:space="preserve">Weeks preparing board packs manually</w:t>
            </w:r>
          </w:p>
        </w:tc>
        <w:tc>
          <w:tcPr>
            <w:vAlign w:val="top"/>
          </w:tcPr>
          <w:p>
            <w:pPr>
              <w:spacing w:after="20"/>
            </w:pPr>
            <w:r>
              <w:rPr>
                <w:color w:val="333333"/>
                <w:sz w:val="18"/>
                <w:szCs w:val="18"/>
              </w:rPr>
              <w:t xml:space="preserve">Structured digital workflow with status tracking</w:t>
            </w:r>
          </w:p>
        </w:tc>
      </w:tr>
      <w:tr>
        <w:trPr/>
        <w:tc>
          <w:tcPr>
            <w:vAlign w:val="top"/>
            <w:shd w:val="clear" w:fill="F8F9FA"/>
          </w:tcPr>
          <w:p>
            <w:pPr>
              <w:spacing w:after="20"/>
            </w:pPr>
            <w:r>
              <w:rPr>
                <w:color w:val="333333"/>
                <w:sz w:val="18"/>
                <w:szCs w:val="18"/>
              </w:rPr>
              <w:t xml:space="preserve">Chasing paper submissions via email</w:t>
            </w:r>
          </w:p>
        </w:tc>
        <w:tc>
          <w:tcPr>
            <w:vAlign w:val="top"/>
            <w:shd w:val="clear" w:fill="F8F9FA"/>
          </w:tcPr>
          <w:p>
            <w:pPr>
              <w:spacing w:after="20"/>
            </w:pPr>
            <w:r>
              <w:rPr>
                <w:color w:val="333333"/>
                <w:sz w:val="18"/>
                <w:szCs w:val="18"/>
              </w:rPr>
              <w:t xml:space="preserve">Automated notifications at every stage</w:t>
            </w:r>
          </w:p>
        </w:tc>
      </w:tr>
      <w:tr>
        <w:trPr/>
        <w:tc>
          <w:tcPr>
            <w:vAlign w:val="top"/>
          </w:tcPr>
          <w:p>
            <w:pPr>
              <w:spacing w:after="20"/>
            </w:pPr>
            <w:r>
              <w:rPr>
                <w:color w:val="333333"/>
                <w:sz w:val="18"/>
                <w:szCs w:val="18"/>
              </w:rPr>
              <w:t xml:space="preserve">Paper-based conflict declarations</w:t>
            </w:r>
          </w:p>
        </w:tc>
        <w:tc>
          <w:tcPr>
            <w:vAlign w:val="top"/>
          </w:tcPr>
          <w:p>
            <w:pPr>
              <w:spacing w:after="20"/>
            </w:pPr>
            <w:r>
              <w:rPr>
                <w:color w:val="333333"/>
                <w:sz w:val="18"/>
                <w:szCs w:val="18"/>
              </w:rPr>
              <w:t xml:space="preserve">OTP-verified digital declarations with exportable register</w:t>
            </w:r>
          </w:p>
        </w:tc>
      </w:tr>
      <w:tr>
        <w:trPr/>
        <w:tc>
          <w:tcPr>
            <w:vAlign w:val="top"/>
            <w:shd w:val="clear" w:fill="F8F9FA"/>
          </w:tcPr>
          <w:p>
            <w:pPr>
              <w:spacing w:after="20"/>
            </w:pPr>
            <w:r>
              <w:rPr>
                <w:color w:val="333333"/>
                <w:sz w:val="18"/>
                <w:szCs w:val="18"/>
              </w:rPr>
              <w:t xml:space="preserve">Minutes drafted with no resolution linkage</w:t>
            </w:r>
          </w:p>
        </w:tc>
        <w:tc>
          <w:tcPr>
            <w:vAlign w:val="top"/>
            <w:shd w:val="clear" w:fill="F8F9FA"/>
          </w:tcPr>
          <w:p>
            <w:pPr>
              <w:spacing w:after="20"/>
            </w:pPr>
            <w:r>
              <w:rPr>
                <w:color w:val="333333"/>
                <w:sz w:val="18"/>
                <w:szCs w:val="18"/>
              </w:rPr>
              <w:t xml:space="preserve">Minutes captured with direct resolution creation</w:t>
            </w:r>
          </w:p>
        </w:tc>
      </w:tr>
      <w:tr>
        <w:trPr/>
        <w:tc>
          <w:tcPr>
            <w:vAlign w:val="top"/>
          </w:tcPr>
          <w:p>
            <w:pPr>
              <w:spacing w:after="20"/>
            </w:pPr>
            <w:r>
              <w:rPr>
                <w:color w:val="333333"/>
                <w:sz w:val="18"/>
                <w:szCs w:val="18"/>
              </w:rPr>
              <w:t xml:space="preserve">Board member records in scattered files</w:t>
            </w:r>
          </w:p>
        </w:tc>
        <w:tc>
          <w:tcPr>
            <w:vAlign w:val="top"/>
          </w:tcPr>
          <w:p>
            <w:pPr>
              <w:spacing w:after="20"/>
            </w:pPr>
            <w:r>
              <w:rPr>
                <w:color w:val="333333"/>
                <w:sz w:val="18"/>
                <w:szCs w:val="18"/>
              </w:rPr>
              <w:t xml:space="preserve">Centralized profiles with completeness scoring</w:t>
            </w:r>
          </w:p>
        </w:tc>
      </w:tr>
      <w:tr>
        <w:trPr/>
        <w:tc>
          <w:tcPr>
            <w:vAlign w:val="top"/>
            <w:shd w:val="clear" w:fill="F8F9FA"/>
          </w:tcPr>
          <w:p>
            <w:pPr>
              <w:spacing w:after="20"/>
            </w:pPr>
            <w:r>
              <w:rPr>
                <w:color w:val="333333"/>
                <w:sz w:val="18"/>
                <w:szCs w:val="18"/>
              </w:rPr>
              <w:t xml:space="preserve">No proof of notice compliance</w:t>
            </w:r>
          </w:p>
        </w:tc>
        <w:tc>
          <w:tcPr>
            <w:vAlign w:val="top"/>
            <w:shd w:val="clear" w:fill="F8F9FA"/>
          </w:tcPr>
          <w:p>
            <w:pPr>
              <w:spacing w:after="20"/>
            </w:pPr>
            <w:r>
              <w:rPr>
                <w:color w:val="333333"/>
                <w:sz w:val="18"/>
                <w:szCs w:val="18"/>
              </w:rPr>
              <w:t xml:space="preserve">Timestamped notice generation with CEO approval record</w:t>
            </w:r>
          </w:p>
        </w:tc>
      </w:tr>
      <w:tr>
        <w:trPr/>
        <w:tc>
          <w:tcPr>
            <w:vAlign w:val="top"/>
          </w:tcPr>
          <w:p>
            <w:pPr>
              <w:spacing w:after="20"/>
            </w:pPr>
            <w:r>
              <w:rPr>
                <w:color w:val="333333"/>
                <w:sz w:val="18"/>
                <w:szCs w:val="18"/>
              </w:rPr>
              <w:t xml:space="preserve">Manual attendance sheets</w:t>
            </w:r>
          </w:p>
        </w:tc>
        <w:tc>
          <w:tcPr>
            <w:vAlign w:val="top"/>
          </w:tcPr>
          <w:p>
            <w:pPr>
              <w:spacing w:after="20"/>
            </w:pPr>
            <w:r>
              <w:rPr>
                <w:color w:val="333333"/>
                <w:sz w:val="18"/>
                <w:szCs w:val="18"/>
              </w:rPr>
              <w:t xml:space="preserve">Digital attendance with OTP and signature verification</w:t>
            </w:r>
          </w:p>
        </w:tc>
      </w:tr>
      <w:tr>
        <w:trPr/>
        <w:tc>
          <w:tcPr>
            <w:vAlign w:val="top"/>
            <w:shd w:val="clear" w:fill="F8F9FA"/>
          </w:tcPr>
          <w:p>
            <w:pPr>
              <w:spacing w:after="20"/>
            </w:pPr>
            <w:r>
              <w:rPr>
                <w:color w:val="333333"/>
                <w:sz w:val="18"/>
                <w:szCs w:val="18"/>
              </w:rPr>
              <w:t xml:space="preserve">No audit trail for document access</w:t>
            </w:r>
          </w:p>
        </w:tc>
        <w:tc>
          <w:tcPr>
            <w:vAlign w:val="top"/>
            <w:shd w:val="clear" w:fill="F8F9FA"/>
          </w:tcPr>
          <w:p>
            <w:pPr>
              <w:spacing w:after="20"/>
            </w:pPr>
            <w:r>
              <w:rPr>
                <w:color w:val="333333"/>
                <w:sz w:val="18"/>
                <w:szCs w:val="18"/>
              </w:rPr>
              <w:t xml:space="preserve">Full audit log with IP, timestamp, and user tracking</w:t>
            </w:r>
          </w:p>
        </w:tc>
      </w:tr>
    </w:tbl>
    <w:p>
      <w:pPr>
        <w:pStyle w:val="Heading2"/>
      </w:pPr>
      <w:bookmarkStart w:id="18" w:name="_Toc18"/>
      <w:r>
        <w:t>Implementation</w:t>
      </w:r>
      <w:bookmarkEnd w:id="18"/>
    </w:p>
    <w:p>
      <w:pPr>
        <w:pStyle w:val="Normal"/>
      </w:pPr>
      <w:r>
        <w:rPr>
          <w:color w:val="333333"/>
          <w:sz w:val="22"/>
          <w:szCs w:val="22"/>
        </w:rPr>
        <w:t xml:space="preserve">E-Board deploys on your institution's server infrastructure or in the cloud. A guided 6-step setup wizard configures your institution's identity, branding, workflows, role labels, email system, and administrator accounts. Your institution's branding — logos, colours, letterhead, CEO signature — is applied throughout the platform.</w:t>
      </w:r>
    </w:p>
    <w:p>
      <w:pPr>
        <w:pStyle w:val="Normal"/>
      </w:pPr>
      <w:r>
        <w:rPr>
          <w:color w:val="333333"/>
          <w:sz w:val="22"/>
          <w:szCs w:val="22"/>
        </w:rPr>
        <w:t xml:space="preserve">[REQUIRES LOSVINCA INPUT: Typical onboarding timeline for Corporation Secretary users, training format, and support contact details]</w:t>
      </w:r>
    </w:p>
    <w:p>
      <w:pPr>
        <w:pStyle w:val="Heading2"/>
      </w:pPr>
      <w:bookmarkStart w:id="19" w:name="_Toc19"/>
      <w:r>
        <w:t>Pricing</w:t>
      </w:r>
      <w:bookmarkEnd w:id="19"/>
    </w:p>
    <w:p>
      <w:pPr>
        <w:pStyle w:val="Normal"/>
      </w:pPr>
      <w:r>
        <w:rPr>
          <w:color w:val="333333"/>
          <w:sz w:val="22"/>
          <w:szCs w:val="22"/>
        </w:rPr>
        <w:t xml:space="preserve">[REQUIRES LOSVINCA INPUT: Pricing model — per-institution, per-user, or tiered. Include any government/public sector pricing if applicable.]</w:t>
      </w:r>
    </w:p>
    <w:p>
      <w:pPr>
        <w:pStyle w:val="Heading2"/>
      </w:pPr>
      <w:bookmarkStart w:id="20" w:name="_Toc20"/>
      <w:r>
        <w:t>See E-Board in Action</w:t>
      </w:r>
      <w:bookmarkEnd w:id="20"/>
    </w:p>
    <w:p>
      <w:pPr>
        <w:pStyle w:val="Normal"/>
      </w:pPr>
      <w:r>
        <w:rPr>
          <w:color w:val="333333"/>
          <w:sz w:val="22"/>
          <w:szCs w:val="22"/>
        </w:rPr>
        <w:t xml:space="preserve">Request a 30-minute demonstration focused on the Corporation Secretary workflow — from almanac planning through meeting execution and minutes export.</w:t>
      </w:r>
    </w:p>
    <w:p>
      <w:pPr>
        <w:pStyle w:val="Normal"/>
      </w:pPr>
      <w:r>
        <w:rPr>
          <w:color w:val="2C3E50"/>
          <w:sz w:val="22"/>
          <w:szCs w:val="22"/>
          <w:b w:val="1"/>
          <w:bCs w:val="1"/>
        </w:rPr>
        <w:t xml:space="preserve">Contact Losvinca</w:t>
      </w:r>
      <w:r>
        <w:rPr>
          <w:color w:val="333333"/>
          <w:sz w:val="22"/>
          <w:szCs w:val="22"/>
        </w:rPr>
        <w:t xml:space="preserve">Contact Losvinca</w:t>
      </w:r>
    </w:p>
    <w:p>
      <w:pPr>
        <w:pStyle w:val="ListBullet"/>
        <w:numPr>
          <w:ilvl w:val="0"/>
          <w:numId w:val="8"/>
        </w:numPr>
      </w:pPr>
      <w:r>
        <w:rPr>
          <w:color w:val="333333"/>
          <w:sz w:val="22"/>
          <w:szCs w:val="22"/>
        </w:rPr>
        <w:t xml:space="preserve">Phone: </w:t>
      </w:r>
      <w:r>
        <w:rPr>
          <w:color w:val="FFFFFF"/>
          <w:sz w:val="16"/>
          <w:szCs w:val="16"/>
          <w:b w:val="1"/>
          <w:bCs w:val="1"/>
          <w:shd w:val="clear" w:fill="E67E22"/>
        </w:rPr>
        <w:t xml:space="preserve"> REQUIRES LOSVINCA INPUT </w:t>
      </w:r>
    </w:p>
    <w:p>
      <w:pPr>
        <w:pStyle w:val="ListBullet"/>
        <w:numPr>
          <w:ilvl w:val="0"/>
          <w:numId w:val="8"/>
        </w:numPr>
      </w:pPr>
      <w:r>
        <w:rPr>
          <w:color w:val="333333"/>
          <w:sz w:val="22"/>
          <w:szCs w:val="22"/>
        </w:rPr>
        <w:t xml:space="preserve">Email: </w:t>
      </w:r>
      <w:r>
        <w:rPr>
          <w:color w:val="FFFFFF"/>
          <w:sz w:val="16"/>
          <w:szCs w:val="16"/>
          <w:b w:val="1"/>
          <w:bCs w:val="1"/>
          <w:shd w:val="clear" w:fill="E67E22"/>
        </w:rPr>
        <w:t xml:space="preserve"> REQUIRES LOSVINCA INPUT </w:t>
      </w:r>
    </w:p>
    <w:p>
      <w:pPr>
        <w:pStyle w:val="ListBullet"/>
        <w:numPr>
          <w:ilvl w:val="0"/>
          <w:numId w:val="8"/>
        </w:numPr>
      </w:pPr>
      <w:r>
        <w:rPr>
          <w:color w:val="333333"/>
          <w:sz w:val="22"/>
          <w:szCs w:val="22"/>
        </w:rPr>
        <w:t xml:space="preserve">Website: </w:t>
      </w:r>
      <w:r>
        <w:rPr>
          <w:color w:val="FFFFFF"/>
          <w:sz w:val="16"/>
          <w:szCs w:val="16"/>
          <w:b w:val="1"/>
          <w:bCs w:val="1"/>
          <w:shd w:val="clear" w:fill="E67E22"/>
        </w:rPr>
        <w:t xml:space="preserve"> REQUIRES LOSVINCA INPUT </w:t>
      </w:r>
    </w:p>
    <w:p>
      <w:pPr>
        <w:pStyle w:val="Normal"/>
      </w:pPr>
      <w:r>
        <w:rPr>
          <w:color w:val="333333"/>
          <w:sz w:val="22"/>
          <w:szCs w:val="22"/>
          <w:i w:val="1"/>
          <w:iCs w:val="1"/>
        </w:rPr>
        <w:t xml:space="preserve">E-Board by Losvinca — Purpose-built digital board governance for Kenyan and African institutions.</w:t>
      </w:r>
      <w:r>
        <w:rPr>
          <w:color w:val="333333"/>
          <w:sz w:val="22"/>
          <w:szCs w:val="22"/>
        </w:rPr>
        <w:t xml:space="preserve">E-Board by Losvinca — Purpose-built digital board governance for Kenyan and African institutions.</w:t>
      </w:r>
    </w:p>
    <w:sectPr>
      <w:headerReference w:type="default" r:id="rId7"/>
      <w:footerReference w:type="default" r:id="rId8"/>
      <w:pgSz w:orient="portrait" w:w="11905.511811023622" w:h="16837.79527559055"/>
      <w:pgMar w:top="1134" w:right="1134" w:bottom="1134"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347162BB"/>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2026-08-11T10:26:04+02:00</dcterms:created>
  <dcterms:modified xsi:type="dcterms:W3CDTF">2026-08-11T10:26:04+02:00</dcterms:modified>
</cp:coreProperties>
</file>

<file path=docProps/custom.xml><?xml version="1.0" encoding="utf-8"?>
<Properties xmlns="http://schemas.openxmlformats.org/officeDocument/2006/custom-properties" xmlns:vt="http://schemas.openxmlformats.org/officeDocument/2006/docPropsVTypes"/>
</file>