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1" w:name="_Toc1"/>
      <w:r>
        <w:t>PART 8 — CEO ONE-PAGER</w:t>
      </w:r>
      <w:bookmarkEnd w:id="1"/>
    </w:p>
    <w:p>
      <w:pPr>
        <w:pStyle w:val="Normal"/>
      </w:pPr>
      <w:r>
        <w:rPr>
          <w:color w:val="2C3E50"/>
          <w:sz w:val="22"/>
          <w:szCs w:val="22"/>
          <w:b w:val="1"/>
          <w:bCs w:val="1"/>
        </w:rPr>
        <w:t xml:space="preserve">Document Status:</w:t>
      </w:r>
      <w:r>
        <w:rPr>
          <w:color w:val="333333"/>
          <w:sz w:val="22"/>
          <w:szCs w:val="22"/>
        </w:rPr>
        <w:t xml:space="preserve">Document Status:</w:t>
      </w:r>
      <w:r>
        <w:rPr>
          <w:color w:val="333333"/>
          <w:sz w:val="22"/>
          <w:szCs w:val="22"/>
        </w:rPr>
        <w:t xml:space="preserve"> </w:t>
      </w:r>
      <w:r>
        <w:rPr>
          <w:color w:val="FFFFFF"/>
          <w:sz w:val="16"/>
          <w:szCs w:val="16"/>
          <w:b w:val="1"/>
          <w:bCs w:val="1"/>
          <w:shd w:val="clear" w:fill="27AE60"/>
        </w:rPr>
        <w:t xml:space="preserve"> READY TO USE </w:t>
      </w:r>
      <w:r>
        <w:rPr>
          <w:color w:val="333333"/>
          <w:sz w:val="22"/>
          <w:szCs w:val="22"/>
        </w:rPr>
        <w:t xml:space="preserve"> unless marked otherwise</w:t>
      </w:r>
    </w:p>
    <w:p>
      <w:pPr>
        <w:pStyle w:val="Normal"/>
      </w:pPr>
      <w:r>
        <w:rPr>
          <w:color w:val="2C3E50"/>
          <w:sz w:val="22"/>
          <w:szCs w:val="22"/>
          <w:b w:val="1"/>
          <w:bCs w:val="1"/>
        </w:rPr>
        <w:t xml:space="preserve">Prepared by:</w:t>
      </w:r>
      <w:r>
        <w:rPr>
          <w:color w:val="333333"/>
          <w:sz w:val="22"/>
          <w:szCs w:val="22"/>
        </w:rPr>
        <w:t xml:space="preserve">Prepared by:</w:t>
      </w:r>
      <w:r>
        <w:rPr>
          <w:color w:val="333333"/>
          <w:sz w:val="22"/>
          <w:szCs w:val="22"/>
        </w:rPr>
        <w:t xml:space="preserve"> Losvinca</w:t>
      </w:r>
    </w:p>
    <w:p>
      <w:pPr>
        <w:pStyle w:val="Normal"/>
      </w:pPr>
      <w:r>
        <w:rPr>
          <w:color w:val="2C3E50"/>
          <w:sz w:val="22"/>
          <w:szCs w:val="22"/>
          <w:b w:val="1"/>
          <w:bCs w:val="1"/>
        </w:rPr>
        <w:t xml:space="preserve">Target Audience:</w:t>
      </w:r>
      <w:r>
        <w:rPr>
          <w:color w:val="333333"/>
          <w:sz w:val="22"/>
          <w:szCs w:val="22"/>
        </w:rPr>
        <w:t xml:space="preserve">Target Audience:</w:t>
      </w:r>
      <w:r>
        <w:rPr>
          <w:color w:val="333333"/>
          <w:sz w:val="22"/>
          <w:szCs w:val="22"/>
        </w:rPr>
        <w:t xml:space="preserve"> Chief Executive Officers, Managing Directors, Accounting Officers</w:t>
      </w:r>
    </w:p>
    <w:p>
      <w:pPr>
        <w:pStyle w:val="Normal"/>
      </w:pPr>
      <w:r>
        <w:rPr>
          <w:color w:val="2C3E50"/>
          <w:sz w:val="22"/>
          <w:szCs w:val="22"/>
          <w:b w:val="1"/>
          <w:bCs w:val="1"/>
        </w:rPr>
        <w:t xml:space="preserve">Format:</w:t>
      </w:r>
      <w:r>
        <w:rPr>
          <w:color w:val="333333"/>
          <w:sz w:val="22"/>
          <w:szCs w:val="22"/>
        </w:rPr>
        <w:t xml:space="preserve">Format:</w:t>
      </w:r>
      <w:r>
        <w:rPr>
          <w:color w:val="333333"/>
          <w:sz w:val="22"/>
          <w:szCs w:val="22"/>
        </w:rPr>
        <w:t xml:space="preserve"> Single-page sales sheet (A4 or Letter, one side)</w:t>
      </w:r>
    </w:p>
    <w:p>
      <w:pPr>
        <w:pStyle w:val="Heading2"/>
      </w:pPr>
      <w:bookmarkStart w:id="2" w:name="_Toc2"/>
      <w:r>
        <w:t>ONE-PAGER COPY</w:t>
      </w:r>
      <w:bookmarkEnd w:id="2"/>
    </w:p>
    <w:p>
      <w:pPr>
        <w:pStyle w:val="Heading1"/>
      </w:pPr>
      <w:bookmarkStart w:id="3" w:name="_Toc3"/>
      <w:r>
        <w:t>E-Board for CEOs</w:t>
      </w:r>
      <w:bookmarkEnd w:id="3"/>
    </w:p>
    <w:p>
      <w:pPr>
        <w:pStyle w:val="Heading3"/>
      </w:pPr>
      <w:bookmarkStart w:id="4" w:name="_Toc4"/>
      <w:r>
        <w:t>Full Visibility. Clear Accountability. Governance You Can Trust.</w:t>
      </w:r>
      <w:bookmarkEnd w:id="4"/>
    </w:p>
    <w:p>
      <w:pPr>
        <w:pStyle w:val="Normal"/>
      </w:pPr>
      <w:r>
        <w:rPr>
          <w:color w:val="333333"/>
          <w:sz w:val="22"/>
          <w:szCs w:val="22"/>
        </w:rPr>
        <w:t xml:space="preserve">As CEO, every board decision passes through your office — notice approvals, board paper reviews, almanac sign-offs, resolution follow-up. Yet without a structured system, you rely on verbal updates, email chains, and manual tracking to know where things stand. E-Board gives you a single, secure platform where every governance action is visible, traceable, and under your direct oversight.</w:t>
      </w:r>
    </w:p>
    <w:p>
      <w:pPr>
        <w:pStyle w:val="Heading2"/>
      </w:pPr>
      <w:bookmarkStart w:id="5" w:name="_Toc5"/>
      <w:r>
        <w:t>What E-Board Delivers for You</w:t>
      </w:r>
      <w:bookmarkEnd w:id="5"/>
    </w:p>
    <w:p>
      <w:pPr>
        <w:pStyle w:val="Heading3"/>
      </w:pPr>
      <w:bookmarkStart w:id="6" w:name="_Toc6"/>
      <w:r>
        <w:t>Executive Oversight at a Glance</w:t>
      </w:r>
      <w:bookmarkEnd w:id="6"/>
    </w:p>
    <w:p>
      <w:pPr>
        <w:pStyle w:val="Normal"/>
      </w:pPr>
      <w:r>
        <w:rPr>
          <w:color w:val="333333"/>
          <w:sz w:val="22"/>
          <w:szCs w:val="22"/>
        </w:rPr>
        <w:t xml:space="preserve">Your dashboard surfaces what needs your attention right now: board papers awaiting your review, notices pending your approval, almanac submissions, and upcoming meetings. No more chasing updates from the Corporation Secretary or officers. </w:t>
      </w:r>
      <w:r>
        <w:rPr>
          <w:color w:val="FFFFFF"/>
          <w:sz w:val="16"/>
          <w:szCs w:val="16"/>
          <w:b w:val="1"/>
          <w:bCs w:val="1"/>
          <w:shd w:val="clear" w:fill="2980B9"/>
        </w:rPr>
        <w:t xml:space="preserve"> CURRENT PRODUCT CAPABILITY </w:t>
      </w:r>
    </w:p>
    <w:p>
      <w:pPr>
        <w:pStyle w:val="Heading3"/>
      </w:pPr>
      <w:bookmarkStart w:id="7" w:name="_Toc7"/>
      <w:r>
        <w:t>Structured Approval Workflows</w:t>
      </w:r>
      <w:bookmarkEnd w:id="7"/>
    </w:p>
    <w:p>
      <w:pPr>
        <w:pStyle w:val="Normal"/>
      </w:pPr>
      <w:r>
        <w:rPr>
          <w:color w:val="333333"/>
          <w:sz w:val="22"/>
          <w:szCs w:val="22"/>
        </w:rPr>
        <w:t xml:space="preserve">Board notices require your formal approval before distribution. Board papers pass through officer preparation and director review before reaching you for final review — with sticky note annotations so you can provide specific, documented feedback. Almanac schedules are submitted for your approval with full version history. Every approval you grant is digitally recorded with timestamp and audit trail. </w:t>
      </w:r>
      <w:r>
        <w:rPr>
          <w:color w:val="FFFFFF"/>
          <w:sz w:val="16"/>
          <w:szCs w:val="16"/>
          <w:b w:val="1"/>
          <w:bCs w:val="1"/>
          <w:shd w:val="clear" w:fill="2980B9"/>
        </w:rPr>
        <w:t xml:space="preserve"> CURRENT PRODUCT CAPABILITY </w:t>
      </w:r>
    </w:p>
    <w:p>
      <w:pPr>
        <w:pStyle w:val="Heading3"/>
      </w:pPr>
      <w:bookmarkStart w:id="8" w:name="_Toc8"/>
      <w:r>
        <w:t>Resolution Follow-Through</w:t>
      </w:r>
      <w:bookmarkEnd w:id="8"/>
    </w:p>
    <w:p>
      <w:pPr>
        <w:pStyle w:val="Normal"/>
      </w:pPr>
      <w:r>
        <w:rPr>
          <w:color w:val="333333"/>
          <w:sz w:val="22"/>
          <w:szCs w:val="22"/>
        </w:rPr>
        <w:t xml:space="preserve">Board resolutions are captured, assigned to responsible officers with due dates, and tracked through clear status stages: pending, in progress, completed, overdue. You see at a glance which decisions have been acted upon and which have stalled — without relying on manual progress reports. </w:t>
      </w:r>
      <w:r>
        <w:rPr>
          <w:color w:val="FFFFFF"/>
          <w:sz w:val="16"/>
          <w:szCs w:val="16"/>
          <w:b w:val="1"/>
          <w:bCs w:val="1"/>
          <w:shd w:val="clear" w:fill="2980B9"/>
        </w:rPr>
        <w:t xml:space="preserve"> CURRENT PRODUCT CAPABILITY </w:t>
      </w:r>
    </w:p>
    <w:p>
      <w:pPr>
        <w:pStyle w:val="Heading3"/>
      </w:pPr>
      <w:bookmarkStart w:id="9" w:name="_Toc9"/>
      <w:r>
        <w:t>Institutional Accountability</w:t>
      </w:r>
      <w:bookmarkEnd w:id="9"/>
    </w:p>
    <w:p>
      <w:pPr>
        <w:pStyle w:val="Normal"/>
      </w:pPr>
      <w:r>
        <w:rPr>
          <w:color w:val="333333"/>
          <w:sz w:val="22"/>
          <w:szCs w:val="22"/>
        </w:rPr>
        <w:t xml:space="preserve">Every action in E-Board is logged: who created, edited, reviewed, or approved each document; when they did it; what changed. This comprehensive audit trail is your institution's evidence of due diligence — available for export as PDF at any time for oversight bodies, regulators, or internal review. </w:t>
      </w:r>
      <w:r>
        <w:rPr>
          <w:color w:val="FFFFFF"/>
          <w:sz w:val="16"/>
          <w:szCs w:val="16"/>
          <w:b w:val="1"/>
          <w:bCs w:val="1"/>
          <w:shd w:val="clear" w:fill="2980B9"/>
        </w:rPr>
        <w:t xml:space="preserve"> CURRENT PRODUCT CAPABILITY </w:t>
      </w:r>
    </w:p>
    <w:p>
      <w:pPr>
        <w:pStyle w:val="Heading3"/>
      </w:pPr>
      <w:bookmarkStart w:id="10" w:name="_Toc10"/>
      <w:r>
        <w:t>Secure Information Governance</w:t>
      </w:r>
      <w:bookmarkEnd w:id="10"/>
    </w:p>
    <w:p>
      <w:pPr>
        <w:pStyle w:val="Normal"/>
      </w:pPr>
      <w:r>
        <w:rPr>
          <w:color w:val="333333"/>
          <w:sz w:val="22"/>
          <w:szCs w:val="22"/>
        </w:rPr>
        <w:t xml:space="preserve">Sensitive board papers and governance documents are no longer circulated via unsecured email or printed copies left in offices. E-Board controls exactly who sees what — with role-based access, three levels of document visibility, and download tracking. Board members access materials through a secure, iPad-optimized portal. </w:t>
      </w:r>
      <w:r>
        <w:rPr>
          <w:color w:val="FFFFFF"/>
          <w:sz w:val="16"/>
          <w:szCs w:val="16"/>
          <w:b w:val="1"/>
          <w:bCs w:val="1"/>
          <w:shd w:val="clear" w:fill="2980B9"/>
        </w:rPr>
        <w:t xml:space="preserve"> CURRENT PRODUCT CAPABILITY </w:t>
      </w:r>
    </w:p>
    <w:p>
      <w:pPr>
        <w:pStyle w:val="Heading3"/>
      </w:pPr>
      <w:bookmarkStart w:id="11" w:name="_Toc11"/>
      <w:r>
        <w:t>Conflict of Interest Transparency</w:t>
      </w:r>
      <w:bookmarkEnd w:id="11"/>
    </w:p>
    <w:p>
      <w:pPr>
        <w:pStyle w:val="Normal"/>
      </w:pPr>
      <w:r>
        <w:rPr>
          <w:color w:val="333333"/>
          <w:sz w:val="22"/>
          <w:szCs w:val="22"/>
        </w:rPr>
        <w:t xml:space="preserve">Board members declare conflicts of interest through an OTP-verified, digitally signed process — not paper forms that can be lost or disputed. The complete register is exportable for regulatory compliance and institutional records. </w:t>
      </w:r>
      <w:r>
        <w:rPr>
          <w:color w:val="FFFFFF"/>
          <w:sz w:val="16"/>
          <w:szCs w:val="16"/>
          <w:b w:val="1"/>
          <w:bCs w:val="1"/>
          <w:shd w:val="clear" w:fill="2980B9"/>
        </w:rPr>
        <w:t xml:space="preserve"> CURRENT PRODUCT CAPABILITY </w:t>
      </w:r>
    </w:p>
    <w:p>
      <w:pPr>
        <w:pStyle w:val="Heading2"/>
      </w:pPr>
      <w:bookmarkStart w:id="12" w:name="_Toc12"/>
      <w:r>
        <w:t>Strategic Benefits</w:t>
      </w:r>
      <w:bookmarkEnd w:id="12"/>
    </w:p>
    <w:p>
      <w:pPr>
        <w:pStyle w:val="Normal"/>
      </w:pPr>
      <w:r>
        <w:rPr>
          <w:color w:val="2C3E50"/>
          <w:sz w:val="22"/>
          <w:szCs w:val="22"/>
          <w:b w:val="1"/>
          <w:bCs w:val="1"/>
        </w:rPr>
        <w:t xml:space="preserve">Governance Compliance</w:t>
      </w:r>
      <w:r>
        <w:rPr>
          <w:color w:val="333333"/>
          <w:sz w:val="22"/>
          <w:szCs w:val="22"/>
        </w:rPr>
        <w:t xml:space="preserve">Governance Compliance</w:t>
      </w:r>
    </w:p>
    <w:p>
      <w:pPr>
        <w:pStyle w:val="Normal"/>
      </w:pPr>
      <w:r>
        <w:rPr>
          <w:color w:val="333333"/>
          <w:sz w:val="22"/>
          <w:szCs w:val="22"/>
        </w:rPr>
        <w:t xml:space="preserve">Meet the requirements of the Mwongozo Code of Governance, Companies Act, and State Corporations Act with structured, documented processes — including 10-day board notice requirements and formal conflict of interest management.</w:t>
      </w:r>
    </w:p>
    <w:p>
      <w:pPr>
        <w:pStyle w:val="Normal"/>
      </w:pPr>
      <w:r>
        <w:rPr>
          <w:color w:val="2C3E50"/>
          <w:sz w:val="22"/>
          <w:szCs w:val="22"/>
          <w:b w:val="1"/>
          <w:bCs w:val="1"/>
        </w:rPr>
        <w:t xml:space="preserve">Risk Reduction</w:t>
      </w:r>
      <w:r>
        <w:rPr>
          <w:color w:val="333333"/>
          <w:sz w:val="22"/>
          <w:szCs w:val="22"/>
        </w:rPr>
        <w:t xml:space="preserve">Risk Reduction</w:t>
      </w:r>
    </w:p>
    <w:p>
      <w:pPr>
        <w:pStyle w:val="Normal"/>
      </w:pPr>
      <w:r>
        <w:rPr>
          <w:color w:val="333333"/>
          <w:sz w:val="22"/>
          <w:szCs w:val="22"/>
        </w:rPr>
        <w:t xml:space="preserve">Eliminate the risks of lost documents, untracked resolutions, unsigned declarations, and undocumented approvals. Every governance action carries a digital record.</w:t>
      </w:r>
    </w:p>
    <w:p>
      <w:pPr>
        <w:pStyle w:val="Normal"/>
      </w:pPr>
      <w:r>
        <w:rPr>
          <w:color w:val="2C3E50"/>
          <w:sz w:val="22"/>
          <w:szCs w:val="22"/>
          <w:b w:val="1"/>
          <w:bCs w:val="1"/>
        </w:rPr>
        <w:t xml:space="preserve">Institutional Continuity</w:t>
      </w:r>
      <w:r>
        <w:rPr>
          <w:color w:val="333333"/>
          <w:sz w:val="22"/>
          <w:szCs w:val="22"/>
        </w:rPr>
        <w:t xml:space="preserve">Institutional Continuity</w:t>
      </w:r>
    </w:p>
    <w:p>
      <w:pPr>
        <w:pStyle w:val="Normal"/>
      </w:pPr>
      <w:r>
        <w:rPr>
          <w:color w:val="333333"/>
          <w:sz w:val="22"/>
          <w:szCs w:val="22"/>
        </w:rPr>
        <w:t xml:space="preserve">When leadership transitions occur, the institution's complete governance record — every meeting, every paper, every resolution, every approval — remains intact and accessible. No institutional memory is lost.</w:t>
      </w:r>
    </w:p>
    <w:p>
      <w:pPr>
        <w:pStyle w:val="Normal"/>
      </w:pPr>
      <w:r>
        <w:rPr>
          <w:color w:val="2C3E50"/>
          <w:sz w:val="22"/>
          <w:szCs w:val="22"/>
          <w:b w:val="1"/>
          <w:bCs w:val="1"/>
        </w:rPr>
        <w:t xml:space="preserve">Operational Efficiency</w:t>
      </w:r>
      <w:r>
        <w:rPr>
          <w:color w:val="333333"/>
          <w:sz w:val="22"/>
          <w:szCs w:val="22"/>
        </w:rPr>
        <w:t xml:space="preserve">Operational Efficiency</w:t>
      </w:r>
    </w:p>
    <w:p>
      <w:pPr>
        <w:pStyle w:val="Normal"/>
      </w:pPr>
      <w:r>
        <w:rPr>
          <w:color w:val="333333"/>
          <w:sz w:val="22"/>
          <w:szCs w:val="22"/>
        </w:rPr>
        <w:t xml:space="preserve">Replace weeks of manual board pack preparation with a structured digital workflow. Automated notifications eliminate the need for follow-up calls and reminder emails. Officers, directors, and the Corporation Secretary work within a single coordinated system.</w:t>
      </w:r>
    </w:p>
    <w:p>
      <w:pPr>
        <w:pStyle w:val="Normal"/>
      </w:pPr>
      <w:r>
        <w:rPr>
          <w:color w:val="2C3E50"/>
          <w:sz w:val="22"/>
          <w:szCs w:val="22"/>
          <w:b w:val="1"/>
          <w:bCs w:val="1"/>
        </w:rPr>
        <w:t xml:space="preserve">Your Institution's Identity</w:t>
      </w:r>
      <w:r>
        <w:rPr>
          <w:color w:val="333333"/>
          <w:sz w:val="22"/>
          <w:szCs w:val="22"/>
        </w:rPr>
        <w:t xml:space="preserve">Your Institution's Identity</w:t>
      </w:r>
    </w:p>
    <w:p>
      <w:pPr>
        <w:pStyle w:val="Normal"/>
      </w:pPr>
      <w:r>
        <w:rPr>
          <w:color w:val="333333"/>
          <w:sz w:val="22"/>
          <w:szCs w:val="22"/>
        </w:rPr>
        <w:t xml:space="preserve">E-Board carries your institution's brand throughout — your logo, colours, letterhead, favicon, and CEO signature. It presents as your institution's own governance platform, not a third-party tool.</w:t>
      </w:r>
    </w:p>
    <w:p>
      <w:pPr>
        <w:pStyle w:val="Heading2"/>
      </w:pPr>
      <w:bookmarkStart w:id="13" w:name="_Toc13"/>
      <w:r>
        <w:t>What This Means in Practice</w:t>
      </w:r>
      <w:bookmarkEnd w:id="13"/>
    </w:p>
    <w:tbl>
      <w:tblGrid>
        <w:gridCol/>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Governance Area</w:t>
            </w:r>
          </w:p>
        </w:tc>
        <w:tc>
          <w:tcPr>
            <w:vAlign w:val="top"/>
            <w:shd w:val="clear" w:fill="1B4F72"/>
          </w:tcPr>
          <w:p>
            <w:pPr>
              <w:spacing w:after="20"/>
            </w:pPr>
            <w:r>
              <w:rPr>
                <w:color w:val="FFFFFF"/>
                <w:sz w:val="18"/>
                <w:szCs w:val="18"/>
                <w:b w:val="1"/>
                <w:bCs w:val="1"/>
              </w:rPr>
              <w:t xml:space="preserve">Without E-Board</w:t>
            </w:r>
          </w:p>
        </w:tc>
        <w:tc>
          <w:tcPr>
            <w:vAlign w:val="top"/>
            <w:shd w:val="clear" w:fill="1B4F72"/>
          </w:tcPr>
          <w:p>
            <w:pPr>
              <w:spacing w:after="20"/>
            </w:pPr>
            <w:r>
              <w:rPr>
                <w:color w:val="FFFFFF"/>
                <w:sz w:val="18"/>
                <w:szCs w:val="18"/>
                <w:b w:val="1"/>
                <w:bCs w:val="1"/>
              </w:rPr>
              <w:t xml:space="preserve">With E-Board</w:t>
            </w:r>
          </w:p>
        </w:tc>
      </w:tr>
      <w:tr>
        <w:trPr/>
        <w:tc>
          <w:tcPr>
            <w:vAlign w:val="top"/>
          </w:tcPr>
          <w:p>
            <w:pPr>
              <w:spacing w:after="20"/>
            </w:pPr>
            <w:r>
              <w:rPr>
                <w:color w:val="333333"/>
                <w:sz w:val="18"/>
                <w:szCs w:val="18"/>
              </w:rPr>
              <w:t xml:space="preserve">Board paper status</w:t>
            </w:r>
          </w:p>
        </w:tc>
        <w:tc>
          <w:tcPr>
            <w:vAlign w:val="top"/>
          </w:tcPr>
          <w:p>
            <w:pPr>
              <w:spacing w:after="20"/>
            </w:pPr>
            <w:r>
              <w:rPr>
                <w:color w:val="333333"/>
                <w:sz w:val="18"/>
                <w:szCs w:val="18"/>
              </w:rPr>
              <w:t xml:space="preserve">Ask the Corporation Secretary</w:t>
            </w:r>
          </w:p>
        </w:tc>
        <w:tc>
          <w:tcPr>
            <w:vAlign w:val="top"/>
          </w:tcPr>
          <w:p>
            <w:pPr>
              <w:spacing w:after="20"/>
            </w:pPr>
            <w:r>
              <w:rPr>
                <w:color w:val="333333"/>
                <w:sz w:val="18"/>
                <w:szCs w:val="18"/>
              </w:rPr>
              <w:t xml:space="preserve">View on your dashboard</w:t>
            </w:r>
          </w:p>
        </w:tc>
      </w:tr>
      <w:tr>
        <w:trPr/>
        <w:tc>
          <w:tcPr>
            <w:vAlign w:val="top"/>
            <w:shd w:val="clear" w:fill="F8F9FA"/>
          </w:tcPr>
          <w:p>
            <w:pPr>
              <w:spacing w:after="20"/>
            </w:pPr>
            <w:r>
              <w:rPr>
                <w:color w:val="333333"/>
                <w:sz w:val="18"/>
                <w:szCs w:val="18"/>
              </w:rPr>
              <w:t xml:space="preserve">Notice compliance</w:t>
            </w:r>
          </w:p>
        </w:tc>
        <w:tc>
          <w:tcPr>
            <w:vAlign w:val="top"/>
            <w:shd w:val="clear" w:fill="F8F9FA"/>
          </w:tcPr>
          <w:p>
            <w:pPr>
              <w:spacing w:after="20"/>
            </w:pPr>
            <w:r>
              <w:rPr>
                <w:color w:val="333333"/>
                <w:sz w:val="18"/>
                <w:szCs w:val="18"/>
              </w:rPr>
              <w:t xml:space="preserve">Trust that it was done</w:t>
            </w:r>
          </w:p>
        </w:tc>
        <w:tc>
          <w:tcPr>
            <w:vAlign w:val="top"/>
            <w:shd w:val="clear" w:fill="F8F9FA"/>
          </w:tcPr>
          <w:p>
            <w:pPr>
              <w:spacing w:after="20"/>
            </w:pPr>
            <w:r>
              <w:rPr>
                <w:color w:val="333333"/>
                <w:sz w:val="18"/>
                <w:szCs w:val="18"/>
              </w:rPr>
              <w:t xml:space="preserve">Timestamped record with your approval</w:t>
            </w:r>
          </w:p>
        </w:tc>
      </w:tr>
      <w:tr>
        <w:trPr/>
        <w:tc>
          <w:tcPr>
            <w:vAlign w:val="top"/>
          </w:tcPr>
          <w:p>
            <w:pPr>
              <w:spacing w:after="20"/>
            </w:pPr>
            <w:r>
              <w:rPr>
                <w:color w:val="333333"/>
                <w:sz w:val="18"/>
                <w:szCs w:val="18"/>
              </w:rPr>
              <w:t xml:space="preserve">Resolution follow-up</w:t>
            </w:r>
          </w:p>
        </w:tc>
        <w:tc>
          <w:tcPr>
            <w:vAlign w:val="top"/>
          </w:tcPr>
          <w:p>
            <w:pPr>
              <w:spacing w:after="20"/>
            </w:pPr>
            <w:r>
              <w:rPr>
                <w:color w:val="333333"/>
                <w:sz w:val="18"/>
                <w:szCs w:val="18"/>
              </w:rPr>
              <w:t xml:space="preserve">Wait for progress reports</w:t>
            </w:r>
          </w:p>
        </w:tc>
        <w:tc>
          <w:tcPr>
            <w:vAlign w:val="top"/>
          </w:tcPr>
          <w:p>
            <w:pPr>
              <w:spacing w:after="20"/>
            </w:pPr>
            <w:r>
              <w:rPr>
                <w:color w:val="333333"/>
                <w:sz w:val="18"/>
                <w:szCs w:val="18"/>
              </w:rPr>
              <w:t xml:space="preserve">Real-time status tracking</w:t>
            </w:r>
          </w:p>
        </w:tc>
      </w:tr>
      <w:tr>
        <w:trPr/>
        <w:tc>
          <w:tcPr>
            <w:vAlign w:val="top"/>
            <w:shd w:val="clear" w:fill="F8F9FA"/>
          </w:tcPr>
          <w:p>
            <w:pPr>
              <w:spacing w:after="20"/>
            </w:pPr>
            <w:r>
              <w:rPr>
                <w:color w:val="333333"/>
                <w:sz w:val="18"/>
                <w:szCs w:val="18"/>
              </w:rPr>
              <w:t xml:space="preserve">Audit readiness</w:t>
            </w:r>
          </w:p>
        </w:tc>
        <w:tc>
          <w:tcPr>
            <w:vAlign w:val="top"/>
            <w:shd w:val="clear" w:fill="F8F9FA"/>
          </w:tcPr>
          <w:p>
            <w:pPr>
              <w:spacing w:after="20"/>
            </w:pPr>
            <w:r>
              <w:rPr>
                <w:color w:val="333333"/>
                <w:sz w:val="18"/>
                <w:szCs w:val="18"/>
              </w:rPr>
              <w:t xml:space="preserve">Compile records from multiple sources</w:t>
            </w:r>
          </w:p>
        </w:tc>
        <w:tc>
          <w:tcPr>
            <w:vAlign w:val="top"/>
            <w:shd w:val="clear" w:fill="F8F9FA"/>
          </w:tcPr>
          <w:p>
            <w:pPr>
              <w:spacing w:after="20"/>
            </w:pPr>
            <w:r>
              <w:rPr>
                <w:color w:val="333333"/>
                <w:sz w:val="18"/>
                <w:szCs w:val="18"/>
              </w:rPr>
              <w:t xml:space="preserve">Export comprehensive audit log as PDF</w:t>
            </w:r>
          </w:p>
        </w:tc>
      </w:tr>
      <w:tr>
        <w:trPr/>
        <w:tc>
          <w:tcPr>
            <w:vAlign w:val="top"/>
          </w:tcPr>
          <w:p>
            <w:pPr>
              <w:spacing w:after="20"/>
            </w:pPr>
            <w:r>
              <w:rPr>
                <w:color w:val="333333"/>
                <w:sz w:val="18"/>
                <w:szCs w:val="18"/>
              </w:rPr>
              <w:t xml:space="preserve">Board member declarations</w:t>
            </w:r>
          </w:p>
        </w:tc>
        <w:tc>
          <w:tcPr>
            <w:vAlign w:val="top"/>
          </w:tcPr>
          <w:p>
            <w:pPr>
              <w:spacing w:after="20"/>
            </w:pPr>
            <w:r>
              <w:rPr>
                <w:color w:val="333333"/>
                <w:sz w:val="18"/>
                <w:szCs w:val="18"/>
              </w:rPr>
              <w:t xml:space="preserve">Paper forms in a file</w:t>
            </w:r>
          </w:p>
        </w:tc>
        <w:tc>
          <w:tcPr>
            <w:vAlign w:val="top"/>
          </w:tcPr>
          <w:p>
            <w:pPr>
              <w:spacing w:after="20"/>
            </w:pPr>
            <w:r>
              <w:rPr>
                <w:color w:val="333333"/>
                <w:sz w:val="18"/>
                <w:szCs w:val="18"/>
              </w:rPr>
              <w:t xml:space="preserve">OTP-verified digital register</w:t>
            </w:r>
          </w:p>
        </w:tc>
      </w:tr>
      <w:tr>
        <w:trPr/>
        <w:tc>
          <w:tcPr>
            <w:vAlign w:val="top"/>
            <w:shd w:val="clear" w:fill="F8F9FA"/>
          </w:tcPr>
          <w:p>
            <w:pPr>
              <w:spacing w:after="20"/>
            </w:pPr>
            <w:r>
              <w:rPr>
                <w:color w:val="333333"/>
                <w:sz w:val="18"/>
                <w:szCs w:val="18"/>
              </w:rPr>
              <w:t xml:space="preserve">Document security</w:t>
            </w:r>
          </w:p>
        </w:tc>
        <w:tc>
          <w:tcPr>
            <w:vAlign w:val="top"/>
            <w:shd w:val="clear" w:fill="F8F9FA"/>
          </w:tcPr>
          <w:p>
            <w:pPr>
              <w:spacing w:after="20"/>
            </w:pPr>
            <w:r>
              <w:rPr>
                <w:color w:val="333333"/>
                <w:sz w:val="18"/>
                <w:szCs w:val="18"/>
              </w:rPr>
              <w:t xml:space="preserve">Email attachments, printed copies</w:t>
            </w:r>
          </w:p>
        </w:tc>
        <w:tc>
          <w:tcPr>
            <w:vAlign w:val="top"/>
            <w:shd w:val="clear" w:fill="F8F9FA"/>
          </w:tcPr>
          <w:p>
            <w:pPr>
              <w:spacing w:after="20"/>
            </w:pPr>
            <w:r>
              <w:rPr>
                <w:color w:val="333333"/>
                <w:sz w:val="18"/>
                <w:szCs w:val="18"/>
              </w:rPr>
              <w:t xml:space="preserve">Role-based access with download tracking</w:t>
            </w:r>
          </w:p>
        </w:tc>
      </w:tr>
    </w:tbl>
    <w:p>
      <w:pPr>
        <w:pStyle w:val="Heading2"/>
      </w:pPr>
      <w:bookmarkStart w:id="14" w:name="_Toc14"/>
      <w:r>
        <w:t>Implementation</w:t>
      </w:r>
      <w:bookmarkEnd w:id="14"/>
    </w:p>
    <w:p>
      <w:pPr>
        <w:pStyle w:val="Normal"/>
      </w:pPr>
      <w:r>
        <w:rPr>
          <w:color w:val="333333"/>
          <w:sz w:val="22"/>
          <w:szCs w:val="22"/>
        </w:rPr>
        <w:t xml:space="preserve">E-Board is deployed on your institution's own server infrastructure or in the cloud — your data stays under your institution's control. A guided setup wizard configures the platform to your institution's identity, branding, and governance workflow in a matter of days, not months.</w:t>
      </w:r>
    </w:p>
    <w:p>
      <w:pPr>
        <w:pStyle w:val="Normal"/>
      </w:pPr>
      <w:r>
        <w:rPr>
          <w:color w:val="333333"/>
          <w:sz w:val="22"/>
          <w:szCs w:val="22"/>
        </w:rPr>
        <w:t xml:space="preserve">[REQUIRES LOSVINCA INPUT: Executive-level implementation summary — timeline, dedicated support contact, reference institutions if available]</w:t>
      </w:r>
    </w:p>
    <w:p>
      <w:pPr>
        <w:pStyle w:val="Heading2"/>
      </w:pPr>
      <w:bookmarkStart w:id="15" w:name="_Toc15"/>
      <w:r>
        <w:t>See It in Action</w:t>
      </w:r>
      <w:bookmarkEnd w:id="15"/>
    </w:p>
    <w:p>
      <w:pPr>
        <w:pStyle w:val="Normal"/>
      </w:pPr>
      <w:r>
        <w:rPr>
          <w:color w:val="333333"/>
          <w:sz w:val="22"/>
          <w:szCs w:val="22"/>
        </w:rPr>
        <w:t xml:space="preserve">Request a focused executive demonstration showing the CEO approval workflows, resolution tracking, and governance oversight capabilities.</w:t>
      </w:r>
    </w:p>
    <w:p>
      <w:pPr>
        <w:pStyle w:val="Normal"/>
      </w:pPr>
      <w:r>
        <w:rPr>
          <w:color w:val="2C3E50"/>
          <w:sz w:val="22"/>
          <w:szCs w:val="22"/>
          <w:b w:val="1"/>
          <w:bCs w:val="1"/>
        </w:rPr>
        <w:t xml:space="preserve">Contact Losvinca</w:t>
      </w:r>
      <w:r>
        <w:rPr>
          <w:color w:val="333333"/>
          <w:sz w:val="22"/>
          <w:szCs w:val="22"/>
        </w:rPr>
        <w:t xml:space="preserve">Contact Losvinca</w:t>
      </w:r>
    </w:p>
    <w:p>
      <w:pPr>
        <w:pStyle w:val="ListBullet"/>
        <w:numPr>
          <w:ilvl w:val="0"/>
          <w:numId w:val="8"/>
        </w:numPr>
      </w:pPr>
      <w:r>
        <w:rPr>
          <w:color w:val="333333"/>
          <w:sz w:val="22"/>
          <w:szCs w:val="22"/>
        </w:rPr>
        <w:t xml:space="preserve">Phone: </w:t>
      </w:r>
      <w:r>
        <w:rPr>
          <w:color w:val="FFFFFF"/>
          <w:sz w:val="16"/>
          <w:szCs w:val="16"/>
          <w:b w:val="1"/>
          <w:bCs w:val="1"/>
          <w:shd w:val="clear" w:fill="E67E22"/>
        </w:rPr>
        <w:t xml:space="preserve"> REQUIRES LOSVINCA INPUT </w:t>
      </w:r>
    </w:p>
    <w:p>
      <w:pPr>
        <w:pStyle w:val="ListBullet"/>
        <w:numPr>
          <w:ilvl w:val="0"/>
          <w:numId w:val="8"/>
        </w:numPr>
      </w:pPr>
      <w:r>
        <w:rPr>
          <w:color w:val="333333"/>
          <w:sz w:val="22"/>
          <w:szCs w:val="22"/>
        </w:rPr>
        <w:t xml:space="preserve">Email: </w:t>
      </w:r>
      <w:r>
        <w:rPr>
          <w:color w:val="FFFFFF"/>
          <w:sz w:val="16"/>
          <w:szCs w:val="16"/>
          <w:b w:val="1"/>
          <w:bCs w:val="1"/>
          <w:shd w:val="clear" w:fill="E67E22"/>
        </w:rPr>
        <w:t xml:space="preserve"> REQUIRES LOSVINCA INPUT </w:t>
      </w:r>
    </w:p>
    <w:p>
      <w:pPr>
        <w:pStyle w:val="ListBullet"/>
        <w:numPr>
          <w:ilvl w:val="0"/>
          <w:numId w:val="8"/>
        </w:numPr>
      </w:pPr>
      <w:r>
        <w:rPr>
          <w:color w:val="333333"/>
          <w:sz w:val="22"/>
          <w:szCs w:val="22"/>
        </w:rPr>
        <w:t xml:space="preserve">Website: </w:t>
      </w:r>
      <w:r>
        <w:rPr>
          <w:color w:val="FFFFFF"/>
          <w:sz w:val="16"/>
          <w:szCs w:val="16"/>
          <w:b w:val="1"/>
          <w:bCs w:val="1"/>
          <w:shd w:val="clear" w:fill="E67E22"/>
        </w:rPr>
        <w:t xml:space="preserve"> REQUIRES LOSVINCA INPUT </w:t>
      </w:r>
    </w:p>
    <w:p>
      <w:pPr>
        <w:pStyle w:val="Normal"/>
      </w:pPr>
      <w:r>
        <w:rPr>
          <w:color w:val="333333"/>
          <w:sz w:val="22"/>
          <w:szCs w:val="22"/>
          <w:i w:val="1"/>
          <w:iCs w:val="1"/>
        </w:rPr>
        <w:t xml:space="preserve">E-Board by Losvinca — Digital board governance built for institutional leadership.</w:t>
      </w:r>
      <w:r>
        <w:rPr>
          <w:color w:val="333333"/>
          <w:sz w:val="22"/>
          <w:szCs w:val="22"/>
        </w:rPr>
        <w:t xml:space="preserve">E-Board by Losvinca — Digital board governance built for institutional leadership.</w:t>
      </w:r>
    </w:p>
    <w:sectPr>
      <w:headerReference w:type="default" r:id="rId7"/>
      <w:footerReference w:type="default" r:id="rId8"/>
      <w:pgSz w:orient="portrait" w:w="11905.511811023622" w:h="16837.79527559055"/>
      <w:pgMar w:top="1134" w:right="1134" w:bottom="1134"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99999"/>
        <w:sz w:val="16"/>
        <w:szCs w:val="16"/>
      </w:rPr>
      <w:t xml:space="preserve">CONFIDENTIAL | Losvinca E-Board Sales Kit | Page </w:t>
    </w:r>
    <w:r>
      <w:fldChar w:fldCharType="begin"/>
    </w:r>
    <w:r>
      <w:rPr>
        <w:color w:val="999999"/>
        <w:sz w:val="16"/>
        <w:szCs w:val="16"/>
      </w:rPr>
      <w:instrText xml:space="preserve">PAGE</w:instrText>
    </w:r>
    <w:r>
      <w:fldChar w:fldCharType="separate"/>
    </w:r>
    <w:r>
      <w:fldChar w:fldCharType="end"/>
    </w:r>
    <w:r>
      <w:rPr>
        <w:color w:val="999999"/>
        <w:sz w:val="16"/>
        <w:szCs w:val="16"/>
      </w:rPr>
      <w:t xml:space="preserve"> of </w:t>
    </w:r>
    <w:r>
      <w:fldChar w:fldCharType="begin"/>
    </w:r>
    <w:r>
      <w:rPr>
        <w:color w:val="999999"/>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2E86C1"/>
        <w:sz w:val="16"/>
        <w:szCs w:val="16"/>
        <w:i w:val="1"/>
        <w:iCs w:val="1"/>
      </w:rPr>
      <w:t xml:space="preserve">E-Board by Losvinca — Digital Board Governance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nsid w:val="92F94C92"/>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8">
    <w:abstractNumId w:val="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1B4F72"/>
      <w:sz w:val="44"/>
      <w:szCs w:val="44"/>
      <w:b w:val="1"/>
      <w:bCs w:val="1"/>
    </w:rPr>
  </w:style>
  <w:style w:type="paragraph" w:styleId="Heading2">
    <w:link w:val="Heading2Char"/>
    <w:name w:val="heading 2"/>
    <w:basedOn w:val="Normal"/>
    <w:pPr>
      <w:spacing w:before="240" w:after="80"/>
      <w:pBdr>
        <w:bottom w:val="single" w:sz="6" w:color="AED6F1"/>
      </w:pBdr>
    </w:pPr>
    <w:rPr>
      <w:color w:val="1B4F72"/>
      <w:sz w:val="32"/>
      <w:szCs w:val="32"/>
      <w:b w:val="1"/>
      <w:bCs w:val="1"/>
    </w:rPr>
  </w:style>
  <w:style w:type="paragraph" w:styleId="Heading3">
    <w:link w:val="Heading3Char"/>
    <w:name w:val="heading 3"/>
    <w:basedOn w:val="Normal"/>
    <w:pPr>
      <w:spacing w:before="200" w:after="60"/>
    </w:pPr>
    <w:rPr>
      <w:color w:val="2E86C1"/>
      <w:sz w:val="26"/>
      <w:szCs w:val="26"/>
      <w:b w:val="1"/>
      <w:bCs w:val="1"/>
    </w:rPr>
  </w:style>
  <w:style w:type="paragraph" w:styleId="Heading4">
    <w:link w:val="Heading4Char"/>
    <w:name w:val="heading 4"/>
    <w:basedOn w:val="Normal"/>
    <w:pPr>
      <w:spacing w:before="160" w:after="40"/>
    </w:pPr>
    <w:rPr>
      <w:color w:val="2C3E50"/>
      <w:sz w:val="22"/>
      <w:szCs w:val="22"/>
      <w:b w:val="1"/>
      <w:bCs w:val="1"/>
    </w:rPr>
  </w:style>
  <w:style w:type="paragraph" w:customStyle="1" w:styleId="Quote">
    <w:name w:val="Quote"/>
    <w:basedOn w:val="Normal"/>
    <w:pPr>
      <w:ind w:left="480" w:right="0"/>
      <w:spacing w:after="80"/>
      <w:pBdr>
        <w:left w:val="single" w:sz="18" w:color="2E86C1"/>
      </w:pBdr>
    </w:pPr>
  </w:style>
  <w:style w:type="paragraph" w:customStyle="1" w:styleId="ListBullet">
    <w:name w:val="ListBullet"/>
    <w:basedOn w:val="Normal"/>
    <w:pPr>
      <w:ind w:left="360" w:right="0" w:hanging="360"/>
      <w:spacing w:after="40" w:line="276"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2026-08-11T10:26:04+02:00</dcterms:created>
  <dcterms:modified xsi:type="dcterms:W3CDTF">2026-08-11T10:26:04+02:00</dcterms:modified>
</cp:coreProperties>
</file>

<file path=docProps/custom.xml><?xml version="1.0" encoding="utf-8"?>
<Properties xmlns="http://schemas.openxmlformats.org/officeDocument/2006/custom-properties" xmlns:vt="http://schemas.openxmlformats.org/officeDocument/2006/docPropsVTypes"/>
</file>