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1" w:name="_Toc1"/>
      <w:r>
        <w:t>PART 11 — DISCOVERY QUESTIONS FOR CORPORATION SECRETARIES AND CEOs</w:t>
      </w:r>
      <w:bookmarkEnd w:id="1"/>
    </w:p>
    <w:p>
      <w:pPr>
        <w:pStyle w:val="Normal"/>
      </w:pPr>
      <w:r>
        <w:rPr>
          <w:color w:val="2C3E50"/>
          <w:sz w:val="22"/>
          <w:szCs w:val="22"/>
          <w:b w:val="1"/>
          <w:bCs w:val="1"/>
        </w:rPr>
        <w:t xml:space="preserve">Document Classification:</w:t>
      </w:r>
      <w:r>
        <w:rPr>
          <w:color w:val="333333"/>
          <w:sz w:val="22"/>
          <w:szCs w:val="22"/>
        </w:rPr>
        <w:t xml:space="preserve">Document Classification:</w:t>
      </w:r>
      <w:r>
        <w:rPr>
          <w:color w:val="333333"/>
          <w:sz w:val="22"/>
          <w:szCs w:val="22"/>
        </w:rPr>
        <w:t xml:space="preserve"> Sales Enablement — Consultative Discovery Guide</w:t>
      </w:r>
    </w:p>
    <w:p>
      <w:pPr>
        <w:pStyle w:val="Normal"/>
      </w:pPr>
      <w:r>
        <w:rPr>
          <w:color w:val="2C3E50"/>
          <w:sz w:val="22"/>
          <w:szCs w:val="22"/>
          <w:b w:val="1"/>
          <w:bCs w:val="1"/>
        </w:rPr>
        <w:t xml:space="preserve">Prepared by:</w:t>
      </w:r>
      <w:r>
        <w:rPr>
          <w:color w:val="333333"/>
          <w:sz w:val="22"/>
          <w:szCs w:val="22"/>
        </w:rPr>
        <w:t xml:space="preserve">Prepared by:</w:t>
      </w:r>
      <w:r>
        <w:rPr>
          <w:color w:val="333333"/>
          <w:sz w:val="22"/>
          <w:szCs w:val="22"/>
        </w:rPr>
        <w:t xml:space="preserve"> Losvinca Sales Engineering</w:t>
      </w:r>
    </w:p>
    <w:p>
      <w:pPr>
        <w:pStyle w:val="Normal"/>
      </w:pPr>
      <w:r>
        <w:rPr>
          <w:color w:val="2C3E50"/>
          <w:sz w:val="22"/>
          <w:szCs w:val="22"/>
          <w:b w:val="1"/>
          <w:bCs w:val="1"/>
        </w:rPr>
        <w:t xml:space="preserve">Status:</w:t>
      </w:r>
      <w:r>
        <w:rPr>
          <w:color w:val="333333"/>
          <w:sz w:val="22"/>
          <w:szCs w:val="22"/>
        </w:rPr>
        <w:t xml:space="preserve">Status:</w:t>
      </w:r>
      <w:r>
        <w:rPr>
          <w:color w:val="333333"/>
          <w:sz w:val="22"/>
          <w:szCs w:val="22"/>
        </w:rPr>
        <w:t xml:space="preserve"> </w:t>
      </w:r>
      <w:r>
        <w:rPr>
          <w:color w:val="FFFFFF"/>
          <w:sz w:val="16"/>
          <w:szCs w:val="16"/>
          <w:b w:val="1"/>
          <w:bCs w:val="1"/>
          <w:shd w:val="clear" w:fill="27AE60"/>
        </w:rPr>
        <w:t xml:space="preserve"> READY TO USE </w:t>
      </w:r>
    </w:p>
    <w:p>
      <w:pPr>
        <w:pStyle w:val="Normal"/>
      </w:pPr>
      <w:r>
        <w:rPr>
          <w:color w:val="2C3E50"/>
          <w:sz w:val="22"/>
          <w:szCs w:val="22"/>
          <w:b w:val="1"/>
          <w:bCs w:val="1"/>
        </w:rPr>
        <w:t xml:space="preserve">Version:</w:t>
      </w:r>
      <w:r>
        <w:rPr>
          <w:color w:val="333333"/>
          <w:sz w:val="22"/>
          <w:szCs w:val="22"/>
        </w:rPr>
        <w:t xml:space="preserve">Version:</w:t>
      </w:r>
      <w:r>
        <w:rPr>
          <w:color w:val="333333"/>
          <w:sz w:val="22"/>
          <w:szCs w:val="22"/>
        </w:rPr>
        <w:t xml:space="preserve"> 1.0</w:t>
      </w:r>
    </w:p>
    <w:p>
      <w:pPr>
        <w:pStyle w:val="Heading2"/>
      </w:pPr>
      <w:bookmarkStart w:id="2" w:name="_Toc2"/>
      <w:r>
        <w:t>HOW TO USE THIS GUIDE</w:t>
      </w:r>
      <w:bookmarkEnd w:id="2"/>
    </w:p>
    <w:p>
      <w:pPr>
        <w:pStyle w:val="Normal"/>
      </w:pPr>
      <w:r>
        <w:rPr>
          <w:color w:val="333333"/>
          <w:sz w:val="22"/>
          <w:szCs w:val="22"/>
        </w:rPr>
        <w:t xml:space="preserve">These 25 discovery questions are designed for consultative conversations with Corporation Secretaries, CEOs, and senior governance officers at government institutions, state corporations, NGOs, and organisations with formal boards.</w:t>
      </w:r>
    </w:p>
    <w:p>
      <w:pPr>
        <w:pStyle w:val="Normal"/>
      </w:pPr>
      <w:r>
        <w:rPr>
          <w:color w:val="2C3E50"/>
          <w:sz w:val="22"/>
          <w:szCs w:val="22"/>
          <w:b w:val="1"/>
          <w:bCs w:val="1"/>
        </w:rPr>
        <w:t xml:space="preserve">Principles:</w:t>
      </w:r>
      <w:r>
        <w:rPr>
          <w:color w:val="333333"/>
          <w:sz w:val="22"/>
          <w:szCs w:val="22"/>
        </w:rPr>
        <w:t xml:space="preserve">Principles:</w:t>
      </w:r>
    </w:p>
    <w:p>
      <w:pPr>
        <w:pStyle w:val="ListBullet"/>
        <w:numPr>
          <w:ilvl w:val="0"/>
          <w:numId w:val="8"/>
        </w:numPr>
      </w:pPr>
      <w:r>
        <w:rPr>
          <w:color w:val="333333"/>
          <w:sz w:val="22"/>
          <w:szCs w:val="22"/>
        </w:rPr>
        <w:t xml:space="preserve">Never read these questions from a list. Memorise the themes and let the conversation flow naturally.</w:t>
      </w:r>
    </w:p>
    <w:p>
      <w:pPr>
        <w:pStyle w:val="ListBullet"/>
        <w:numPr>
          <w:ilvl w:val="0"/>
          <w:numId w:val="8"/>
        </w:numPr>
      </w:pPr>
      <w:r>
        <w:rPr>
          <w:color w:val="333333"/>
          <w:sz w:val="22"/>
          <w:szCs w:val="22"/>
        </w:rPr>
        <w:t xml:space="preserve">Listen more than you speak. The prospect's answers are your selling tools — you will mirror their language and pain points back to them throughout the sales process.</w:t>
      </w:r>
    </w:p>
    <w:p>
      <w:pPr>
        <w:pStyle w:val="ListBullet"/>
        <w:numPr>
          <w:ilvl w:val="0"/>
          <w:numId w:val="8"/>
        </w:numPr>
      </w:pPr>
      <w:r>
        <w:rPr>
          <w:color w:val="333333"/>
          <w:sz w:val="22"/>
          <w:szCs w:val="22"/>
        </w:rPr>
        <w:t xml:space="preserve">After each answer, acknowledge what they said before moving to the next question. ("That is very common in state corporations..." or "I hear that a lot from Corporation Secretaries...")</w:t>
      </w:r>
    </w:p>
    <w:p>
      <w:pPr>
        <w:pStyle w:val="ListBullet"/>
        <w:numPr>
          <w:ilvl w:val="0"/>
          <w:numId w:val="8"/>
        </w:numPr>
      </w:pPr>
      <w:r>
        <w:rPr>
          <w:color w:val="333333"/>
          <w:sz w:val="22"/>
          <w:szCs w:val="22"/>
        </w:rPr>
        <w:t xml:space="preserve">You do not need to ask all 25. Select 8-12 questions based on the prospect's role, institution type, and the time available.</w:t>
      </w:r>
    </w:p>
    <w:p>
      <w:pPr>
        <w:pStyle w:val="ListBullet"/>
        <w:numPr>
          <w:ilvl w:val="0"/>
          <w:numId w:val="8"/>
        </w:numPr>
      </w:pPr>
      <w:r>
        <w:rPr>
          <w:color w:val="333333"/>
          <w:sz w:val="22"/>
          <w:szCs w:val="22"/>
        </w:rPr>
        <w:t xml:space="preserve">Take notes. The specific language the prospect uses to describe their problems should appear verbatim in your proposal.</w:t>
      </w:r>
    </w:p>
    <w:p>
      <w:pPr>
        <w:pStyle w:val="Normal"/>
      </w:pPr>
      <w:r>
        <w:rPr>
          <w:color w:val="2C3E50"/>
          <w:sz w:val="22"/>
          <w:szCs w:val="22"/>
          <w:b w:val="1"/>
          <w:bCs w:val="1"/>
        </w:rPr>
        <w:t xml:space="preserve">Conversation Structure:</w:t>
      </w:r>
      <w:r>
        <w:rPr>
          <w:color w:val="333333"/>
          <w:sz w:val="22"/>
          <w:szCs w:val="22"/>
        </w:rPr>
        <w:t xml:space="preserve">Conversation Structure:</w:t>
      </w:r>
    </w:p>
    <w:p>
      <w:pPr>
        <w:pStyle w:val="ListBullet"/>
        <w:numPr>
          <w:ilvl w:val="0"/>
          <w:numId w:val="9"/>
        </w:numPr>
      </w:pPr>
      <w:r>
        <w:rPr>
          <w:color w:val="2C3E50"/>
          <w:sz w:val="22"/>
          <w:szCs w:val="22"/>
          <w:b w:val="1"/>
          <w:bCs w:val="1"/>
        </w:rPr>
        <w:t xml:space="preserve">Open</w:t>
      </w:r>
      <w:r>
        <w:rPr>
          <w:color w:val="333333"/>
          <w:sz w:val="22"/>
          <w:szCs w:val="22"/>
        </w:rPr>
        <w:t xml:space="preserve">Open</w:t>
      </w:r>
      <w:r>
        <w:rPr>
          <w:color w:val="333333"/>
          <w:sz w:val="22"/>
          <w:szCs w:val="22"/>
        </w:rPr>
        <w:t xml:space="preserve"> with questions about current processes (Questions 1-5)</w:t>
      </w:r>
    </w:p>
    <w:p>
      <w:pPr>
        <w:pStyle w:val="ListBullet"/>
        <w:numPr>
          <w:ilvl w:val="0"/>
          <w:numId w:val="9"/>
        </w:numPr>
      </w:pPr>
      <w:r>
        <w:rPr>
          <w:color w:val="2C3E50"/>
          <w:sz w:val="22"/>
          <w:szCs w:val="22"/>
          <w:b w:val="1"/>
          <w:bCs w:val="1"/>
        </w:rPr>
        <w:t xml:space="preserve">Deepen</w:t>
      </w:r>
      <w:r>
        <w:rPr>
          <w:color w:val="333333"/>
          <w:sz w:val="22"/>
          <w:szCs w:val="22"/>
        </w:rPr>
        <w:t xml:space="preserve">Deepen</w:t>
      </w:r>
      <w:r>
        <w:rPr>
          <w:color w:val="333333"/>
          <w:sz w:val="22"/>
          <w:szCs w:val="22"/>
        </w:rPr>
        <w:t xml:space="preserve"> into specific pain areas (Questions 6-15)</w:t>
      </w:r>
    </w:p>
    <w:p>
      <w:pPr>
        <w:pStyle w:val="ListBullet"/>
        <w:numPr>
          <w:ilvl w:val="0"/>
          <w:numId w:val="9"/>
        </w:numPr>
      </w:pPr>
      <w:r>
        <w:rPr>
          <w:color w:val="2C3E50"/>
          <w:sz w:val="22"/>
          <w:szCs w:val="22"/>
          <w:b w:val="1"/>
          <w:bCs w:val="1"/>
        </w:rPr>
        <w:t xml:space="preserve">Explore</w:t>
      </w:r>
      <w:r>
        <w:rPr>
          <w:color w:val="333333"/>
          <w:sz w:val="22"/>
          <w:szCs w:val="22"/>
        </w:rPr>
        <w:t xml:space="preserve">Explore</w:t>
      </w:r>
      <w:r>
        <w:rPr>
          <w:color w:val="333333"/>
          <w:sz w:val="22"/>
          <w:szCs w:val="22"/>
        </w:rPr>
        <w:t xml:space="preserve"> governance and compliance concerns (Questions 16-20)</w:t>
      </w:r>
    </w:p>
    <w:p>
      <w:pPr>
        <w:pStyle w:val="ListBullet"/>
        <w:numPr>
          <w:ilvl w:val="0"/>
          <w:numId w:val="9"/>
        </w:numPr>
      </w:pPr>
      <w:r>
        <w:rPr>
          <w:color w:val="2C3E50"/>
          <w:sz w:val="22"/>
          <w:szCs w:val="22"/>
          <w:b w:val="1"/>
          <w:bCs w:val="1"/>
        </w:rPr>
        <w:t xml:space="preserve">Qualify</w:t>
      </w:r>
      <w:r>
        <w:rPr>
          <w:color w:val="333333"/>
          <w:sz w:val="22"/>
          <w:szCs w:val="22"/>
        </w:rPr>
        <w:t xml:space="preserve">Qualify</w:t>
      </w:r>
      <w:r>
        <w:rPr>
          <w:color w:val="333333"/>
          <w:sz w:val="22"/>
          <w:szCs w:val="22"/>
        </w:rPr>
        <w:t xml:space="preserve"> budget, timeline, and decision-making (Questions 21-25)</w:t>
      </w:r>
    </w:p>
    <w:p>
      <w:pPr>
        <w:pStyle w:val="Heading2"/>
      </w:pPr>
      <w:bookmarkStart w:id="3" w:name="_Toc3"/>
      <w:r>
        <w:t>CURRENT BOARD PROCESSES</w:t>
      </w:r>
      <w:bookmarkEnd w:id="3"/>
    </w:p>
    <w:p>
      <w:pPr>
        <w:pStyle w:val="Heading3"/>
      </w:pPr>
      <w:bookmarkStart w:id="4" w:name="_Toc4"/>
      <w:r>
        <w:t>Question 1: The Workflow Question</w:t>
      </w:r>
      <w:bookmarkEnd w:id="4"/>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"Could you walk me through what happens from the moment your board decides to hold a meeting to the moment the minutes from that meeting are formally approved? I am curious about every step and every person involved."</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This reveals the full scope of the governance workflow and identifies every friction point. Most prospects will describe a process involving 8-15 manual steps, multiple departments, and several weeks of effort. Every pain point they mention becomes a feature you can demonstrate.</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Manual printing, courier services, email chains, version confusion, delays in CEO approval, formatting time for minutes, physical signature collection.</w:t>
      </w:r>
    </w:p>
    <w:p>
      <w:pPr>
        <w:pStyle w:val="Heading3"/>
      </w:pPr>
      <w:bookmarkStart w:id="5" w:name="_Toc5"/>
      <w:r>
        <w:t>Question 2: The Volume Question</w:t>
      </w:r>
      <w:bookmarkEnd w:id="5"/>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"In a typical financial year, how many board and committee meetings does your institution hold? And for each of those meetings, roughly how many pages make up the board pack?"</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This quantifies the operational burden. A state corporation with 12 board meetings and 6 committee meetings per year, each producing 150-300 page board packs, is spending significant resources on printing and distribution alone. These numbers go directly into your ROI calculation.</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Number of meetings (typically 4-12 board meetings plus committee meetings), board pack sizes (typically 100-500 pages), number of board members receiving packs (typically 7-15).</w:t>
      </w:r>
    </w:p>
    <w:p>
      <w:pPr>
        <w:pStyle w:val="Heading3"/>
      </w:pPr>
      <w:bookmarkStart w:id="6" w:name="_Toc6"/>
      <w:r>
        <w:t>Question 3: The People Question</w:t>
      </w:r>
      <w:bookmarkEnd w:id="6"/>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"How many people in your office are involved in preparing for a single board meeting? I mean everyone — from the officers drafting papers to the person handling printing and distribution."</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Reveals the human resource cost of board meeting preparation. In many institutions, 5-10 staff members are diverted from their primary duties for days before each meeting. E-Board's workflow automation directly reduces this burden.</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Number of staff involved, time spent, opportunity cost, overtime, temporary staff hired for board meeting preparation.</w:t>
      </w:r>
    </w:p>
    <w:p>
      <w:pPr>
        <w:pStyle w:val="Heading2"/>
      </w:pPr>
      <w:bookmarkStart w:id="7" w:name="_Toc7"/>
      <w:r>
        <w:t>BOARD PAPER DISTRIBUTION</w:t>
      </w:r>
      <w:bookmarkEnd w:id="7"/>
    </w:p>
    <w:p>
      <w:pPr>
        <w:pStyle w:val="Heading3"/>
      </w:pPr>
      <w:bookmarkStart w:id="8" w:name="_Toc8"/>
      <w:r>
        <w:t>Question 4: The Distribution Question</w:t>
      </w:r>
      <w:bookmarkEnd w:id="8"/>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"Once board papers are finalised, how do you get them into the hands of your board members? And how do you handle the situation when a paper is revised after it has already been distributed?"</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This surfaces the distribution challenge — printing costs, courier expenses, and the nightmare of version control when papers change after distribution. E-Board's digital distribution with versioning directly addresses this.</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Printing costs, courier/delivery services, email attachments with large file sizes, WhatsApp groups for distribution, confusion over which version is current, supplementary papers sent at the last minute.</w:t>
      </w:r>
    </w:p>
    <w:p>
      <w:pPr>
        <w:pStyle w:val="Heading3"/>
      </w:pPr>
      <w:bookmarkStart w:id="9" w:name="_Toc9"/>
      <w:r>
        <w:t>Question 5: The Last-Minute Change Question</w:t>
      </w:r>
      <w:bookmarkEnd w:id="9"/>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"Be honest — how often does a board paper change after the board pack has already been sent out? When that happens, what is the process?"</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Almost every institution deals with last-minute paper revisions. The answer reveals whether they reprint and redistribute (expensive and time-consuming) or send email updates (creating version confusion). E-Board's real-time paper management with versioning and recall eliminates this entirely.</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Frequency of changes, cost of reprinting, confusion among board members about which version to reference, supplementary documents sent via email or WhatsApp.</w:t>
      </w:r>
    </w:p>
    <w:p>
      <w:pPr>
        <w:pStyle w:val="Heading2"/>
      </w:pPr>
      <w:bookmarkStart w:id="10" w:name="_Toc10"/>
      <w:r>
        <w:t>MEETING PREPARATION</w:t>
      </w:r>
      <w:bookmarkEnd w:id="10"/>
    </w:p>
    <w:p>
      <w:pPr>
        <w:pStyle w:val="Heading3"/>
      </w:pPr>
      <w:bookmarkStart w:id="11" w:name="_Toc11"/>
      <w:r>
        <w:t>Question 6: The Notice Question</w:t>
      </w:r>
      <w:bookmarkEnd w:id="11"/>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"How do you manage the notice period for board meetings? I know governance best practice in Kenya requires at least ten days. Have you ever had a situation where meeting validity was questioned because of timing?"</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The 10-day notice requirement is a specific compliance obligation. If the prospect has experienced challenges with this, E-Board's automatic notice management with date tracking becomes a compelling feature.</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Manual tracking of notice dates, near-misses with the 10-day requirement, physical notice distribution delays, no systematic record of when notices were sent.</w:t>
      </w:r>
    </w:p>
    <w:p>
      <w:pPr>
        <w:pStyle w:val="Heading3"/>
      </w:pPr>
      <w:bookmarkStart w:id="12" w:name="_Toc12"/>
      <w:r>
        <w:t>Question 7: The Review Question</w:t>
      </w:r>
      <w:bookmarkEnd w:id="12"/>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"When a board paper is being prepared, how many levels of review does it go through before it reaches the board? Is there a formal process, or does it vary from department to department?"</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Reveals whether the institution has a structured paper review process. E-Board's three-stage review (Officer → Director → CEO) with status tracking provides the structure most institutions lack.</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Inconsistent review processes, papers reaching the board without adequate review, CEO spending excessive time on papers that should have been caught at lower levels, no audit trail of who reviewed what.</w:t>
      </w:r>
    </w:p>
    <w:p>
      <w:pPr>
        <w:pStyle w:val="Heading3"/>
      </w:pPr>
      <w:bookmarkStart w:id="13" w:name="_Toc13"/>
      <w:r>
        <w:t>Question 8: The Almanac Question</w:t>
      </w:r>
      <w:bookmarkEnd w:id="13"/>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"Does your institution prepare an annual board meeting calendar — what some call an almanac? If so, how is that developed and approved, and how closely do your actual meetings follow the plan?"</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The almanac is a governance best practice. If the prospect does not use one, E-Board introduces this discipline. If they do, E-Board digitises and improves the process with CEO approval workflows, PDF generation, and version tracking.</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Whether an almanac exists, how it is developed (manually in Word/Excel), whether the CEO formally approves it, how frequently it changes, whether there is a record of changes.</w:t>
      </w:r>
    </w:p>
    <w:p>
      <w:pPr>
        <w:pStyle w:val="Heading2"/>
      </w:pPr>
      <w:bookmarkStart w:id="14" w:name="_Toc14"/>
      <w:r>
        <w:t>DOCUMENT SECURITY</w:t>
      </w:r>
      <w:bookmarkEnd w:id="14"/>
    </w:p>
    <w:p>
      <w:pPr>
        <w:pStyle w:val="Heading3"/>
      </w:pPr>
      <w:bookmarkStart w:id="15" w:name="_Toc15"/>
      <w:r>
        <w:t>Question 9: The Confidentiality Question</w:t>
      </w:r>
      <w:bookmarkEnd w:id="15"/>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"Board papers often contain sensitive information — financial results, legal matters, personnel decisions. How do you currently control who sees what? Has there ever been a situation where confidential board information was accessed by someone who should not have had it?"</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This is a security conversation. Physical board packs can be left on desks, in cars, on aeroplanes. Email attachments can be forwarded. E-Board's three-level visibility control (all members, committee-only, specific individuals) and download tracking directly address document security.</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Stories of security breaches (even minor ones), concerns about physical document security, inability to control forwarding of email attachments, no tracking of who accessed what.</w:t>
      </w:r>
    </w:p>
    <w:p>
      <w:pPr>
        <w:pStyle w:val="Heading3"/>
      </w:pPr>
      <w:bookmarkStart w:id="16" w:name="_Toc16"/>
      <w:r>
        <w:t>Question 10: The Access Control Question</w:t>
      </w:r>
      <w:bookmarkEnd w:id="16"/>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"When a board member's term ends, how do you ensure they no longer have access to board documents? And for committee-specific papers, how do you ensure only committee members see them?"</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Most institutions have no systematic way to revoke access to physical or emailed documents. E-Board's role-based access control and user status management solve this completely.</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No formal process for access revocation, reliance on "honour system," committee papers distributed to all board members, former board members retaining access to email-distributed documents.</w:t>
      </w:r>
    </w:p>
    <w:p>
      <w:pPr>
        <w:pStyle w:val="Heading2"/>
      </w:pPr>
      <w:bookmarkStart w:id="17" w:name="_Toc17"/>
      <w:r>
        <w:t>VERSION CONTROL</w:t>
      </w:r>
      <w:bookmarkEnd w:id="17"/>
    </w:p>
    <w:p>
      <w:pPr>
        <w:pStyle w:val="Heading3"/>
      </w:pPr>
      <w:bookmarkStart w:id="18" w:name="_Toc18"/>
      <w:r>
        <w:t>Question 11: The Version Question</w:t>
      </w:r>
      <w:bookmarkEnd w:id="18"/>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"In your experience, how often does confusion arise over which version of a board paper is the final version — either internally during preparation, or among board members reviewing papers before a meeting?"</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Version confusion is universal. If the prospect acknowledges this problem, E-Board's paper versioning with clear status tracking is a direct solution.</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"Final_v2_REVISED_FINAL" filename conventions, board members referencing outdated papers during meetings, time spent clarifying which version is current, papers with conflicting information reaching the board.</w:t>
      </w:r>
    </w:p>
    <w:p>
      <w:pPr>
        <w:pStyle w:val="Heading2"/>
      </w:pPr>
      <w:bookmarkStart w:id="19" w:name="_Toc19"/>
      <w:r>
        <w:t>MINUTES AND RESOLUTIONS</w:t>
      </w:r>
      <w:bookmarkEnd w:id="19"/>
    </w:p>
    <w:p>
      <w:pPr>
        <w:pStyle w:val="Heading3"/>
      </w:pPr>
      <w:bookmarkStart w:id="20" w:name="_Toc20"/>
      <w:r>
        <w:t>Question 12: The Minutes Question</w:t>
      </w:r>
      <w:bookmarkEnd w:id="20"/>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"After a board meeting, how long does it typically take for draft minutes to be ready? And what does the formatting and approval process look like?"</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Minutes preparation is often a major time sink. Many Corporation Secretaries spend days formatting minutes in Word. E-Board's structured minutes capture with automatic Word export dramatically reduces this time.</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Days or weeks to produce draft minutes, extensive manual formatting in Word, multiple revision cycles, difficulty matching minutes to specific agenda items, no standardised format.</w:t>
      </w:r>
    </w:p>
    <w:p>
      <w:pPr>
        <w:pStyle w:val="Heading3"/>
      </w:pPr>
      <w:bookmarkStart w:id="21" w:name="_Toc21"/>
      <w:r>
        <w:t>Question 13: The Resolution Tracking Question</w:t>
      </w:r>
      <w:bookmarkEnd w:id="21"/>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"Once the board passes a resolution, what happens next? Is there a formal system for tracking whether resolutions are implemented, or does it depend on individuals remembering their commitments?"</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This is often the biggest governance gap. Boards make decisions, but without systematic tracking, implementation falls through the cracks. E-Board's resolution register with status tracking (Pending/In Progress/Completed/Overdue) and officer assignment closes this gap.</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No formal tracking system, resolutions lost between meetings, the same items reappearing on agendas, reliance on the Corporation Secretary's personal records, no visibility for the board chair between meetings.</w:t>
      </w:r>
    </w:p>
    <w:p>
      <w:pPr>
        <w:pStyle w:val="Heading3"/>
      </w:pPr>
      <w:bookmarkStart w:id="22" w:name="_Toc22"/>
      <w:r>
        <w:t>Question 14: The Accountability Question</w:t>
      </w:r>
      <w:bookmarkEnd w:id="22"/>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"Between meetings, how does your board chair or CEO get visibility into the status of actions from the previous meeting? Is there a dashboard or report, or do they need to ask individually?"</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Most institutions have no inter-meeting visibility. E-Board's role-based dashboards and resolution status tracking provide real-time visibility without manual reporting.</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Manual status reports compiled before each meeting, no inter-meeting visibility, CEO/Chair having to call individual officers for updates, items slipping through the cracks.</w:t>
      </w:r>
    </w:p>
    <w:p>
      <w:pPr>
        <w:pStyle w:val="Heading2"/>
      </w:pPr>
      <w:bookmarkStart w:id="23" w:name="_Toc23"/>
      <w:r>
        <w:t>BOARD MEMBER ACCESS</w:t>
      </w:r>
      <w:bookmarkEnd w:id="23"/>
    </w:p>
    <w:p>
      <w:pPr>
        <w:pStyle w:val="Heading3"/>
      </w:pPr>
      <w:bookmarkStart w:id="24" w:name="_Toc24"/>
      <w:r>
        <w:t>Question 15: The Board Member Experience Question</w:t>
      </w:r>
      <w:bookmarkEnd w:id="24"/>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"If I were one of your board members, what would my experience be like? How do I receive my papers, how do I prepare for meetings, and how do I access historical documents or past decisions?"</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This question shifts the perspective to the board member's experience. Most prospects will describe an experience that involves receiving large email attachments or physical packs, with no easy way to search past records. E-Board's iPad-optimised board portal transforms this experience.</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Frustration with large email attachments, difficulty preparing on tablets or phones, no access to historical papers, board members asking the Corporation Secretary for past documents, papers arriving too late for adequate preparation.</w:t>
      </w:r>
    </w:p>
    <w:p>
      <w:pPr>
        <w:pStyle w:val="Heading2"/>
      </w:pPr>
      <w:bookmarkStart w:id="25" w:name="_Toc25"/>
      <w:r>
        <w:t>HISTORICAL RECORDS</w:t>
      </w:r>
      <w:bookmarkEnd w:id="25"/>
    </w:p>
    <w:p>
      <w:pPr>
        <w:pStyle w:val="Heading3"/>
      </w:pPr>
      <w:bookmarkStart w:id="26" w:name="_Toc26"/>
      <w:r>
        <w:t>Question 16: The Institutional Memory Question</w:t>
      </w:r>
      <w:bookmarkEnd w:id="26"/>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"If a new board member joins next month and wants to understand the history of a particular strategic decision — say, a decision made two years ago — how would they access that information? How long would it take?"</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Institutional memory is typically locked in physical files, individual email accounts, or the Corporation Secretary's personal knowledge. E-Board's centralised document repository and meeting history make institutional memory accessible and searchable.</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Reliance on physical archives, dependence on specific individuals' memories, difficulty accessing historical records, time-consuming retrieval process, records stored in multiple locations.</w:t>
      </w:r>
    </w:p>
    <w:p>
      <w:pPr>
        <w:pStyle w:val="Heading2"/>
      </w:pPr>
      <w:bookmarkStart w:id="27" w:name="_Toc27"/>
      <w:r>
        <w:t>NOTIFICATIONS AND COMMUNICATION</w:t>
      </w:r>
      <w:bookmarkEnd w:id="27"/>
    </w:p>
    <w:p>
      <w:pPr>
        <w:pStyle w:val="Heading3"/>
      </w:pPr>
      <w:bookmarkStart w:id="28" w:name="_Toc28"/>
      <w:r>
        <w:t>Question 17: The Communication Question</w:t>
      </w:r>
      <w:bookmarkEnd w:id="28"/>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"How do you currently communicate with board members between meetings — meeting reminders, document sharing, urgent notices? Is there a formal channel, or does it happen through various means?"</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Many institutions use a combination of email, WhatsApp, phone calls, and physical letters. This creates fragmented communication with no audit trail. E-Board's email notifications and in-app notification system provide structured, auditable communication.</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Multiple communication channels (email, WhatsApp, phone), no audit trail of communications, board members missing important notices, difficulty reaching all members consistently, use of personal email/phone for official governance communication.</w:t>
      </w:r>
    </w:p>
    <w:p>
      <w:pPr>
        <w:pStyle w:val="Heading2"/>
      </w:pPr>
      <w:bookmarkStart w:id="29" w:name="_Toc29"/>
      <w:r>
        <w:t>AUDIT AND COMPLIANCE</w:t>
      </w:r>
      <w:bookmarkEnd w:id="29"/>
    </w:p>
    <w:p>
      <w:pPr>
        <w:pStyle w:val="Heading3"/>
      </w:pPr>
      <w:bookmarkStart w:id="30" w:name="_Toc30"/>
      <w:r>
        <w:t>Question 18: The Audit Question</w:t>
      </w:r>
      <w:bookmarkEnd w:id="30"/>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"When the Auditor General's office or a regulatory body requests governance records — board minutes, attendance records, conflict declarations, resolution implementation status — how quickly can you produce those documents? What does that preparation process look like?"</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Audit preparedness is a compliance imperative for government institutions and state corporations. If retrieving governance records takes days of manual compilation, E-Board's instant PDF exports and comprehensive audit trail become essential — not optional.</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Days or weeks to compile records, manual collection from multiple sources, stress and disruption when audit requests arrive, incomplete records, inability to demonstrate the full decision-making trail.</w:t>
      </w:r>
    </w:p>
    <w:p>
      <w:pPr>
        <w:pStyle w:val="Heading3"/>
      </w:pPr>
      <w:bookmarkStart w:id="31" w:name="_Toc31"/>
      <w:r>
        <w:t>Question 19: The Conflict of Interest Question</w:t>
      </w:r>
      <w:bookmarkEnd w:id="31"/>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"How does your institution handle conflict of interest declarations? Is there a formal register, and can you demonstrate to an auditor that every board member declared their interests before participating in discussions?"</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Conflict of interest management is a specific governance requirement. Most institutions use paper-based declarations that are difficult to verify and retrieve. E-Board's OTP-verified, digitally signed conflict declarations with a centralised register provide auditable compliance.</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Paper-based declarations, incomplete registers, no verification mechanism, inability to prove declarations were made before specific discussions, no centralised register.</w:t>
      </w:r>
    </w:p>
    <w:p>
      <w:pPr>
        <w:pStyle w:val="Heading3"/>
      </w:pPr>
      <w:bookmarkStart w:id="32" w:name="_Toc32"/>
      <w:r>
        <w:t>Question 20: The Attendance Question</w:t>
      </w:r>
      <w:bookmarkEnd w:id="32"/>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"How do you currently record and report on board meeting attendance? I ask because attendance patterns often come under scrutiny — is there a reliable, auditable record?"</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Board attendance records are a governance requirement and come under regulatory scrutiny. E-Board's digital attendance system with PDF and CSV export provides a defensible record.</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Manual attendance registers (paper sign-in sheets), no systematic tracking of attendance patterns, difficulty producing attendance reports, concerns about quorum verification.</w:t>
      </w:r>
    </w:p>
    <w:p>
      <w:pPr>
        <w:pStyle w:val="Heading2"/>
      </w:pPr>
      <w:bookmarkStart w:id="33" w:name="_Toc33"/>
      <w:r>
        <w:t>GOVERNANCE CHALLENGES</w:t>
      </w:r>
      <w:bookmarkEnd w:id="33"/>
    </w:p>
    <w:p>
      <w:pPr>
        <w:pStyle w:val="Heading3"/>
      </w:pPr>
      <w:bookmarkStart w:id="34" w:name="_Toc34"/>
      <w:r>
        <w:t>Question 21: The Governance Gap Question</w:t>
      </w:r>
      <w:bookmarkEnd w:id="34"/>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"If you could wave a magic wand and fix one thing about your board governance processes — the one thing that keeps you up at night or consumes the most of your time — what would it be?"</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This is the emotional core of the sale. The answer reveals the prospect's primary buying motivation and should be referenced throughout every subsequent interaction.</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The specific pain point that matters most to this individual. It could be operational (time spent on preparation), compliance (audit readiness), security (document confidentiality), or accountability (resolution tracking). Whatever they say, this becomes the centrepiece of your proposal.</w:t>
      </w:r>
    </w:p>
    <w:p>
      <w:pPr>
        <w:pStyle w:val="Heading2"/>
      </w:pPr>
      <w:bookmarkStart w:id="35" w:name="_Toc35"/>
      <w:r>
        <w:t>EXISTING SYSTEMS AND PROCUREMENT</w:t>
      </w:r>
      <w:bookmarkEnd w:id="35"/>
    </w:p>
    <w:p>
      <w:pPr>
        <w:pStyle w:val="Heading3"/>
      </w:pPr>
      <w:bookmarkStart w:id="36" w:name="_Toc36"/>
      <w:r>
        <w:t>Question 22: The Current Systems Question</w:t>
      </w:r>
      <w:bookmarkEnd w:id="36"/>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"Are you currently using any digital tools for board governance — even if it is just shared drives or email? And if you have looked at solutions before, what happened? What worked and what did not?"</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Understanding the competitive landscape and past failures. If they evaluated a system and rejected it, understanding why helps you position E-Board differently. If they tried to build something internally, understanding where it failed validates E-Board's purpose-built approach.</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Previous evaluations or implementations that failed, reasons for failure (too complex, not tailored to Kenyan governance, too expensive, inadequate support), current use of SharePoint, Google Drive, or other generic tools, internal IT projects that stalled.</w:t>
      </w:r>
    </w:p>
    <w:p>
      <w:pPr>
        <w:pStyle w:val="Heading3"/>
      </w:pPr>
      <w:bookmarkStart w:id="37" w:name="_Toc37"/>
      <w:r>
        <w:t>Question 23: The Budget and Procurement Question</w:t>
      </w:r>
      <w:bookmarkEnd w:id="37"/>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"In terms of procurement, how does your institution typically acquire software solutions? Is this something that would go through a formal tender process, or are there provisions for direct procurement for specialised solutions below certain thresholds?"</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Understanding the procurement pathway determines your sales timeline and strategy. Government institutions and state corporations in Kenya follow the Public Procurement and Asset Disposal Act, which has specific provisions for different procurement methods.</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Procurement method (open tender, restricted tender, direct procurement, request for quotation), threshold amounts, budget cycle timing, whether ICT procurement requires specific approvals, existence of an approved ICT budget line.</w:t>
      </w:r>
    </w:p>
    <w:p>
      <w:pPr>
        <w:pStyle w:val="Heading3"/>
      </w:pPr>
      <w:bookmarkStart w:id="38" w:name="_Toc38"/>
      <w:r>
        <w:t>Question 24: The Decision-Making Question</w:t>
      </w:r>
      <w:bookmarkEnd w:id="38"/>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"Beyond yourself, who else would need to be involved in evaluating and approving a solution like this? I want to make sure we provide the right information to the right people."</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Identifies the buying committee. In most government institutions, the decision involves the Corporation Secretary, CEO, ICT Director, and possibly the board chair. You need to tailor your materials and meetings to address each stakeholder's concerns.</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Key decision-makers (CEO, board chair, ICT director, CFO/finance director), procurement committee involvement, board approval requirements for ICT expenditure, who has budget authority, who has veto power.</w:t>
      </w:r>
    </w:p>
    <w:p>
      <w:pPr>
        <w:pStyle w:val="Heading3"/>
      </w:pPr>
      <w:bookmarkStart w:id="39" w:name="_Toc39"/>
      <w:r>
        <w:t>Question 25: The Timeline Question</w:t>
      </w:r>
      <w:bookmarkEnd w:id="39"/>
    </w:p>
    <w:p>
      <w:pPr>
        <w:pStyle w:val="Normal"/>
      </w:pPr>
      <w:r>
        <w:rPr>
          <w:color w:val="FFFFFF"/>
          <w:sz w:val="16"/>
          <w:szCs w:val="16"/>
          <w:b w:val="1"/>
          <w:bCs w:val="1"/>
          <w:shd w:val="clear" w:fill="27AE60"/>
        </w:rPr>
        <w:t xml:space="preserve"> READY TO USE </w:t>
      </w:r>
    </w:p>
    <w:p>
      <w:pPr>
        <w:pStyle w:val="Quote"/>
      </w:pPr>
      <w:r>
        <w:rPr>
          <w:color w:val="555555"/>
          <w:sz w:val="22"/>
          <w:szCs w:val="22"/>
          <w:i w:val="1"/>
          <w:iCs w:val="1"/>
        </w:rPr>
        <w:t xml:space="preserve">"Is there a specific event or deadline driving this — perhaps an upcoming board induction, a new financial year, an audit, or a regulatory requirement? I ask because it helps us understand how to structure a rollout that aligns with your calendar."</w:t>
      </w:r>
    </w:p>
    <w:p>
      <w:pPr>
        <w:pStyle w:val="Normal"/>
      </w:pPr>
      <w:r>
        <w:rPr>
          <w:color w:val="2C3E50"/>
          <w:sz w:val="22"/>
          <w:szCs w:val="22"/>
          <w:b w:val="1"/>
          <w:bCs w:val="1"/>
        </w:rPr>
        <w:t xml:space="preserve">Why this matters:</w:t>
      </w:r>
      <w:r>
        <w:rPr>
          <w:color w:val="333333"/>
          <w:sz w:val="22"/>
          <w:szCs w:val="22"/>
        </w:rPr>
        <w:t xml:space="preserve">Why this matters:</w:t>
      </w:r>
      <w:r>
        <w:rPr>
          <w:color w:val="333333"/>
          <w:sz w:val="22"/>
          <w:szCs w:val="22"/>
        </w:rPr>
        <w:t xml:space="preserve"> Identifies urgency and timeline drivers. An upcoming audit, a new board appointment, or the start of a new financial year (July) can accelerate the decision. The answer also helps you propose a realistic implementation timeline.</w:t>
      </w:r>
    </w:p>
    <w:p>
      <w:pPr>
        <w:pStyle w:val="Normal"/>
      </w:pPr>
      <w:r>
        <w:rPr>
          <w:color w:val="2C3E50"/>
          <w:sz w:val="22"/>
          <w:szCs w:val="22"/>
          <w:b w:val="1"/>
          <w:bCs w:val="1"/>
        </w:rPr>
        <w:t xml:space="preserve">What to listen for:</w:t>
      </w:r>
      <w:r>
        <w:rPr>
          <w:color w:val="333333"/>
          <w:sz w:val="22"/>
          <w:szCs w:val="22"/>
        </w:rPr>
        <w:t xml:space="preserve">What to listen for:</w:t>
      </w:r>
      <w:r>
        <w:rPr>
          <w:color w:val="333333"/>
          <w:sz w:val="22"/>
          <w:szCs w:val="22"/>
        </w:rPr>
        <w:t xml:space="preserve"> Upcoming audits, new board member inductions, financial year planning cycles, regulatory deadlines, CEO or board chair directives to digitise, incidents that created urgency (security breach, governance failure, audit finding).</w:t>
      </w:r>
    </w:p>
    <w:p>
      <w:pPr>
        <w:pStyle w:val="Heading2"/>
      </w:pPr>
      <w:bookmarkStart w:id="40" w:name="_Toc40"/>
      <w:r>
        <w:t>DISCOVERY CONVERSATION FRAMEWORK</w:t>
      </w:r>
      <w:bookmarkEnd w:id="40"/>
    </w:p>
    <w:p>
      <w:pPr>
        <w:pStyle w:val="Heading3"/>
      </w:pPr>
      <w:bookmarkStart w:id="41" w:name="_Toc41"/>
      <w:r>
        <w:t>Opening (2 minutes)</w:t>
      </w:r>
      <w:bookmarkEnd w:id="41"/>
    </w:p>
    <w:p>
      <w:pPr>
        <w:pStyle w:val="Normal"/>
      </w:pPr>
      <w:r>
        <w:rPr>
          <w:color w:val="333333"/>
          <w:sz w:val="22"/>
          <w:szCs w:val="22"/>
        </w:rPr>
        <w:t xml:space="preserve">Use Questions 1-2 to understand the full governance workflow and its scale.</w:t>
      </w:r>
    </w:p>
    <w:p>
      <w:pPr>
        <w:pStyle w:val="Heading3"/>
      </w:pPr>
      <w:bookmarkStart w:id="42" w:name="_Toc42"/>
      <w:r>
        <w:t>Deepening (5-8 minutes)</w:t>
      </w:r>
      <w:bookmarkEnd w:id="42"/>
    </w:p>
    <w:p>
      <w:pPr>
        <w:pStyle w:val="Normal"/>
      </w:pPr>
      <w:r>
        <w:rPr>
          <w:color w:val="333333"/>
          <w:sz w:val="22"/>
          <w:szCs w:val="22"/>
        </w:rPr>
        <w:t xml:space="preserve">Select 4-6 questions from Questions 3-15 based on the prospect's role:</w:t>
      </w:r>
    </w:p>
    <w:p>
      <w:pPr>
        <w:pStyle w:val="ListBullet"/>
        <w:numPr>
          <w:ilvl w:val="0"/>
          <w:numId w:val="8"/>
        </w:numPr>
      </w:pPr>
      <w:r>
        <w:rPr>
          <w:color w:val="2C3E50"/>
          <w:sz w:val="22"/>
          <w:szCs w:val="22"/>
          <w:b w:val="1"/>
          <w:bCs w:val="1"/>
        </w:rPr>
        <w:t xml:space="preserve">Corporation Secretary:</w:t>
      </w:r>
      <w:r>
        <w:rPr>
          <w:color w:val="333333"/>
          <w:sz w:val="22"/>
          <w:szCs w:val="22"/>
        </w:rPr>
        <w:t xml:space="preserve">Corporation Secretary:</w:t>
      </w:r>
      <w:r>
        <w:rPr>
          <w:color w:val="333333"/>
          <w:sz w:val="22"/>
          <w:szCs w:val="22"/>
        </w:rPr>
        <w:t xml:space="preserve"> Focus on Questions 4, 5, 6, 12, 13, 15</w:t>
      </w:r>
    </w:p>
    <w:p>
      <w:pPr>
        <w:pStyle w:val="ListBullet"/>
        <w:numPr>
          <w:ilvl w:val="0"/>
          <w:numId w:val="8"/>
        </w:numPr>
      </w:pPr>
      <w:r>
        <w:rPr>
          <w:color w:val="2C3E50"/>
          <w:sz w:val="22"/>
          <w:szCs w:val="22"/>
          <w:b w:val="1"/>
          <w:bCs w:val="1"/>
        </w:rPr>
        <w:t xml:space="preserve">CEO:</w:t>
      </w:r>
      <w:r>
        <w:rPr>
          <w:color w:val="333333"/>
          <w:sz w:val="22"/>
          <w:szCs w:val="22"/>
        </w:rPr>
        <w:t xml:space="preserve">CEO:</w:t>
      </w:r>
      <w:r>
        <w:rPr>
          <w:color w:val="333333"/>
          <w:sz w:val="22"/>
          <w:szCs w:val="22"/>
        </w:rPr>
        <w:t xml:space="preserve"> Focus on Questions 7, 8, 13, 14, 21</w:t>
      </w:r>
    </w:p>
    <w:p>
      <w:pPr>
        <w:pStyle w:val="ListBullet"/>
        <w:numPr>
          <w:ilvl w:val="0"/>
          <w:numId w:val="8"/>
        </w:numPr>
      </w:pPr>
      <w:r>
        <w:rPr>
          <w:color w:val="2C3E50"/>
          <w:sz w:val="22"/>
          <w:szCs w:val="22"/>
          <w:b w:val="1"/>
          <w:bCs w:val="1"/>
        </w:rPr>
        <w:t xml:space="preserve">ICT Director:</w:t>
      </w:r>
      <w:r>
        <w:rPr>
          <w:color w:val="333333"/>
          <w:sz w:val="22"/>
          <w:szCs w:val="22"/>
        </w:rPr>
        <w:t xml:space="preserve">ICT Director:</w:t>
      </w:r>
      <w:r>
        <w:rPr>
          <w:color w:val="333333"/>
          <w:sz w:val="22"/>
          <w:szCs w:val="22"/>
        </w:rPr>
        <w:t xml:space="preserve"> Focus on Questions 9, 10, 11, 22</w:t>
      </w:r>
    </w:p>
    <w:p>
      <w:pPr>
        <w:pStyle w:val="ListBullet"/>
        <w:numPr>
          <w:ilvl w:val="0"/>
          <w:numId w:val="8"/>
        </w:numPr>
      </w:pPr>
      <w:r>
        <w:rPr>
          <w:color w:val="2C3E50"/>
          <w:sz w:val="22"/>
          <w:szCs w:val="22"/>
          <w:b w:val="1"/>
          <w:bCs w:val="1"/>
        </w:rPr>
        <w:t xml:space="preserve">Internal Audit:</w:t>
      </w:r>
      <w:r>
        <w:rPr>
          <w:color w:val="333333"/>
          <w:sz w:val="22"/>
          <w:szCs w:val="22"/>
        </w:rPr>
        <w:t xml:space="preserve">Internal Audit:</w:t>
      </w:r>
      <w:r>
        <w:rPr>
          <w:color w:val="333333"/>
          <w:sz w:val="22"/>
          <w:szCs w:val="22"/>
        </w:rPr>
        <w:t xml:space="preserve"> Focus on Questions 18, 19, 20</w:t>
      </w:r>
    </w:p>
    <w:p>
      <w:pPr>
        <w:pStyle w:val="Heading3"/>
      </w:pPr>
      <w:bookmarkStart w:id="43" w:name="_Toc43"/>
      <w:r>
        <w:t>Qualifying (3-5 minutes)</w:t>
      </w:r>
      <w:bookmarkEnd w:id="43"/>
    </w:p>
    <w:p>
      <w:pPr>
        <w:pStyle w:val="Normal"/>
      </w:pPr>
      <w:r>
        <w:rPr>
          <w:color w:val="333333"/>
          <w:sz w:val="22"/>
          <w:szCs w:val="22"/>
        </w:rPr>
        <w:t xml:space="preserve">Use Questions 22-25 to understand procurement, decision-making, and timeline.</w:t>
      </w:r>
    </w:p>
    <w:p>
      <w:pPr>
        <w:pStyle w:val="Heading3"/>
      </w:pPr>
      <w:bookmarkStart w:id="44" w:name="_Toc44"/>
      <w:r>
        <w:t>Closing the Discovery</w:t>
      </w:r>
      <w:bookmarkEnd w:id="44"/>
    </w:p>
    <w:p>
      <w:pPr>
        <w:pStyle w:val="Quote"/>
      </w:pPr>
      <w:r>
        <w:rPr>
          <w:color w:val="555555"/>
          <w:sz w:val="22"/>
          <w:szCs w:val="22"/>
          <w:i w:val="1"/>
          <w:iCs w:val="1"/>
        </w:rPr>
        <w:t xml:space="preserve">"Thank you for being so open about your processes and challenges. Based on what you have shared, I believe E-Board addresses [mirror their top 2-3 pain points using their own language]. Would it be useful for me to show you exactly how that works in a live demonstration?"</w:t>
      </w:r>
    </w:p>
    <w:p>
      <w:pPr>
        <w:pStyle w:val="Heading2"/>
      </w:pPr>
      <w:bookmarkStart w:id="45" w:name="_Toc45"/>
      <w:r>
        <w:t>NOTES ON CONVERSATIONAL STYLE</w:t>
      </w:r>
      <w:bookmarkEnd w:id="45"/>
    </w:p>
    <w:p>
      <w:pPr>
        <w:pStyle w:val="ListBullet"/>
        <w:numPr>
          <w:ilvl w:val="0"/>
          <w:numId w:val="8"/>
        </w:numPr>
      </w:pPr>
      <w:r>
        <w:rPr>
          <w:color w:val="333333"/>
          <w:sz w:val="22"/>
          <w:szCs w:val="22"/>
        </w:rPr>
        <w:t xml:space="preserve">Use "your institution" not "your organisation" when speaking with government entities</w:t>
      </w:r>
    </w:p>
    <w:p>
      <w:pPr>
        <w:pStyle w:val="ListBullet"/>
        <w:numPr>
          <w:ilvl w:val="0"/>
          <w:numId w:val="8"/>
        </w:numPr>
      </w:pPr>
      <w:r>
        <w:rPr>
          <w:color w:val="333333"/>
          <w:sz w:val="22"/>
          <w:szCs w:val="22"/>
        </w:rPr>
        <w:t xml:space="preserve">Reference Kenyan governance standards and the Mwongozo Code where appropriate</w:t>
      </w:r>
    </w:p>
    <w:p>
      <w:pPr>
        <w:pStyle w:val="ListBullet"/>
        <w:numPr>
          <w:ilvl w:val="0"/>
          <w:numId w:val="8"/>
        </w:numPr>
      </w:pPr>
      <w:r>
        <w:rPr>
          <w:color w:val="333333"/>
          <w:sz w:val="22"/>
          <w:szCs w:val="22"/>
        </w:rPr>
        <w:t xml:space="preserve">Acknowledge the complexity of public sector procurement without dismissing it</w:t>
      </w:r>
    </w:p>
    <w:p>
      <w:pPr>
        <w:pStyle w:val="ListBullet"/>
        <w:numPr>
          <w:ilvl w:val="0"/>
          <w:numId w:val="8"/>
        </w:numPr>
      </w:pPr>
      <w:r>
        <w:rPr>
          <w:color w:val="333333"/>
          <w:sz w:val="22"/>
          <w:szCs w:val="22"/>
        </w:rPr>
        <w:t xml:space="preserve">Show respect for existing processes — position E-Board as an improvement, not a criticism</w:t>
      </w:r>
    </w:p>
    <w:p>
      <w:pPr>
        <w:pStyle w:val="ListBullet"/>
        <w:numPr>
          <w:ilvl w:val="0"/>
          <w:numId w:val="8"/>
        </w:numPr>
      </w:pPr>
      <w:r>
        <w:rPr>
          <w:color w:val="333333"/>
          <w:sz w:val="22"/>
          <w:szCs w:val="22"/>
        </w:rPr>
        <w:t xml:space="preserve">Use stories and examples from similar institution types (state corporations, government agencies, NGOs) without naming specific clients unless authorised</w:t>
      </w:r>
    </w:p>
    <w:p>
      <w:pPr>
        <w:pStyle w:val="ListBullet"/>
        <w:numPr>
          <w:ilvl w:val="0"/>
          <w:numId w:val="8"/>
        </w:numPr>
      </w:pPr>
      <w:r>
        <w:rPr>
          <w:color w:val="333333"/>
          <w:sz w:val="22"/>
          <w:szCs w:val="22"/>
        </w:rPr>
        <w:t xml:space="preserve">Avoid technical jargon — speak in governance language, not software language</w:t>
      </w:r>
    </w:p>
    <w:p>
      <w:pPr>
        <w:pStyle w:val="ListBullet"/>
        <w:numPr>
          <w:ilvl w:val="0"/>
          <w:numId w:val="8"/>
        </w:numPr>
      </w:pPr>
      <w:r>
        <w:rPr>
          <w:color w:val="333333"/>
          <w:sz w:val="22"/>
          <w:szCs w:val="22"/>
        </w:rPr>
        <w:t xml:space="preserve">Never pressure. Government procurement has formal timelines that cannot be rushed. Position yourself as a long-term partner, not a short-term vendor.</w:t>
      </w:r>
    </w:p>
    <w:p>
      <w:pPr>
        <w:pStyle w:val="Normal"/>
      </w:pPr>
      <w:r>
        <w:rPr>
          <w:color w:val="333333"/>
          <w:sz w:val="22"/>
          <w:szCs w:val="22"/>
          <w:i w:val="1"/>
          <w:iCs w:val="1"/>
        </w:rPr>
        <w:t xml:space="preserve">End of Part 11 — Discovery Questions</w:t>
      </w:r>
      <w:r>
        <w:rPr>
          <w:color w:val="333333"/>
          <w:sz w:val="22"/>
          <w:szCs w:val="22"/>
        </w:rPr>
        <w:t xml:space="preserve">End of Part 11 — Discovery Questions</w:t>
      </w:r>
    </w:p>
    <w:sectPr>
      <w:headerReference w:type="default" r:id="rId7"/>
      <w:footerReference w:type="default" r:id="rId8"/>
      <w:pgSz w:orient="portrait" w:w="11905.511811023622" w:h="16837.79527559055"/>
      <w:pgMar w:top="1134" w:right="1134" w:bottom="1134"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99999"/>
        <w:sz w:val="16"/>
        <w:szCs w:val="16"/>
      </w:rPr>
      <w:t xml:space="preserve">CONFIDENTIAL | Losvinca E-Board Sales Kit | Page </w:t>
    </w:r>
    <w:r>
      <w:fldChar w:fldCharType="begin"/>
    </w:r>
    <w:r>
      <w:rPr>
        <w:color w:val="999999"/>
        <w:sz w:val="16"/>
        <w:szCs w:val="16"/>
      </w:rPr>
      <w:instrText xml:space="preserve">PAGE</w:instrText>
    </w:r>
    <w:r>
      <w:fldChar w:fldCharType="separate"/>
    </w:r>
    <w:r>
      <w:fldChar w:fldCharType="end"/>
    </w:r>
    <w:r>
      <w:rPr>
        <w:color w:val="999999"/>
        <w:sz w:val="16"/>
        <w:szCs w:val="16"/>
      </w:rPr>
      <w:t xml:space="preserve"> of </w:t>
    </w:r>
    <w:r>
      <w:fldChar w:fldCharType="begin"/>
    </w:r>
    <w:r>
      <w:rPr>
        <w:color w:val="999999"/>
        <w:sz w:val="16"/>
        <w:szCs w:val="16"/>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2E86C1"/>
        <w:sz w:val="16"/>
        <w:szCs w:val="16"/>
        <w:i w:val="1"/>
        <w:iCs w:val="1"/>
      </w:rPr>
      <w:t xml:space="preserve">E-Board by Losvinca — Digital Board Governance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nsid w:val="AFC75E80"/>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9">
    <w:nsid w:val="C170C324"/>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8">
    <w:abstractNumId w:val="8"/>
  </w:num>
  <w:num w:numId="9">
    <w:abstractNumId w:val="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pPr>
      <w:spacing w:after="80" w:line="276" w:lineRule="auto"/>
    </w:pPr>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1B4F72"/>
      <w:sz w:val="44"/>
      <w:szCs w:val="44"/>
      <w:b w:val="1"/>
      <w:bCs w:val="1"/>
    </w:rPr>
  </w:style>
  <w:style w:type="paragraph" w:styleId="Heading2">
    <w:link w:val="Heading2Char"/>
    <w:name w:val="heading 2"/>
    <w:basedOn w:val="Normal"/>
    <w:pPr>
      <w:spacing w:before="240" w:after="80"/>
      <w:pBdr>
        <w:bottom w:val="single" w:sz="6" w:color="AED6F1"/>
      </w:pBdr>
    </w:pPr>
    <w:rPr>
      <w:color w:val="1B4F72"/>
      <w:sz w:val="32"/>
      <w:szCs w:val="32"/>
      <w:b w:val="1"/>
      <w:bCs w:val="1"/>
    </w:rPr>
  </w:style>
  <w:style w:type="paragraph" w:styleId="Heading3">
    <w:link w:val="Heading3Char"/>
    <w:name w:val="heading 3"/>
    <w:basedOn w:val="Normal"/>
    <w:pPr>
      <w:spacing w:before="200" w:after="60"/>
    </w:pPr>
    <w:rPr>
      <w:color w:val="2E86C1"/>
      <w:sz w:val="26"/>
      <w:szCs w:val="26"/>
      <w:b w:val="1"/>
      <w:bCs w:val="1"/>
    </w:rPr>
  </w:style>
  <w:style w:type="paragraph" w:styleId="Heading4">
    <w:link w:val="Heading4Char"/>
    <w:name w:val="heading 4"/>
    <w:basedOn w:val="Normal"/>
    <w:pPr>
      <w:spacing w:before="160" w:after="40"/>
    </w:pPr>
    <w:rPr>
      <w:color w:val="2C3E50"/>
      <w:sz w:val="22"/>
      <w:szCs w:val="22"/>
      <w:b w:val="1"/>
      <w:bCs w:val="1"/>
    </w:rPr>
  </w:style>
  <w:style w:type="paragraph" w:customStyle="1" w:styleId="Quote">
    <w:name w:val="Quote"/>
    <w:basedOn w:val="Normal"/>
    <w:pPr>
      <w:ind w:left="480" w:right="0"/>
      <w:spacing w:after="80"/>
      <w:pBdr>
        <w:left w:val="single" w:sz="18" w:color="2E86C1"/>
      </w:pBdr>
    </w:pPr>
  </w:style>
  <w:style w:type="paragraph" w:customStyle="1" w:styleId="ListBullet">
    <w:name w:val="ListBullet"/>
    <w:basedOn w:val="Normal"/>
    <w:pPr>
      <w:ind w:left="360" w:right="0" w:hanging="360"/>
      <w:spacing w:after="40" w:line="276"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2026-08-11T10:26:04+02:00</dcterms:created>
  <dcterms:modified xsi:type="dcterms:W3CDTF">2026-08-11T10:26:04+02:00</dcterms:modified>
</cp:coreProperties>
</file>

<file path=docProps/custom.xml><?xml version="1.0" encoding="utf-8"?>
<Properties xmlns="http://schemas.openxmlformats.org/officeDocument/2006/custom-properties" xmlns:vt="http://schemas.openxmlformats.org/officeDocument/2006/docPropsVTypes"/>
</file>