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15 — GOVERNMENT PROCUREMENT STRATEGY</w:t></w:r><w:bookmarkEnd w:id="1"/></w:p><w:p><w:pPr><w:pStyle w:val="Heading2"/></w:pPr><w:bookmarkStart w:id="2" w:name="_Toc2"/><w:r><w:t>Selling E-Board into Government and Public Institutions</w:t></w:r><w:bookmarkEnd w:id="2"/></w:p><w:p><w:pPr><w:pStyle w:val="Normal"/></w:pPr><w:r><w:rPr><w:color w:val="2C3E50"/><w:sz w:val="22"/><w:szCs w:val="22"/><w:b w:val="1"/><w:bCs w:val="1"/></w:rPr><w:t xml:space="preserve">Classification:</w:t></w:r><w:r><w:rPr><w:color w:val="333333"/><w:sz w:val="22"/><w:szCs w:val="22"/></w:rPr><w:t xml:space="preserve">Classification:</w:t></w:r><w:r><w:rPr><w:color w:val="333333"/><w:sz w:val="22"/><w:szCs w:val="22"/></w:rPr><w:t xml:space="preserve"> CONFIDENTIAL — Internal Sales Use Only</w:t></w:r></w:p><w:p><w:pPr><w:pStyle w:val="Normal"/></w:pPr><w:r><w:rPr><w:color w:val="2C3E50"/><w:sz w:val="22"/><w:szCs w:val="22"/><w:b w:val="1"/><w:bCs w:val="1"/></w:rPr><w:t xml:space="preserve">Version:</w:t></w:r><w:r><w:rPr><w:color w:val="333333"/><w:sz w:val="22"/><w:szCs w:val="22"/></w:rPr><w:t xml:space="preserve">Version:</w:t></w:r><w:r><w:rPr><w:color w:val="333333"/><w:sz w:val="22"/><w:szCs w:val="22"/></w:rPr><w:t xml:space="preserve"> 1.0</w:t></w:r></w:p><w:p><w:pPr><w:pStyle w:val="Heading2"/></w:pPr><w:bookmarkStart w:id="3" w:name="_Toc3"/><w:r><w:t>15.1 THE REALITY OF GOVERNMENT SALES IN KENYA</w:t></w:r><w:bookmarkEnd w:id="3"/></w:p><w:p><w:pPr><w:pStyle w:val="Normal"/></w:pPr><w:r><w:rPr><w:color w:val="333333"/><w:sz w:val="22"/><w:szCs w:val="22"/></w:rPr><w:t xml:space="preserve">Government procurement in Kenya is governed by the </w:t></w:r><w:r><w:rPr><w:color w:val="2C3E50"/><w:sz w:val="22"/><w:szCs w:val="22"/><w:b w:val="1"/><w:bCs w:val="1"/></w:rPr><w:t xml:space="preserve">Public Procurement and Asset Disposal Act, 2015</w:t></w:r><w:r><w:rPr><w:color w:val="333333"/><w:sz w:val="22"/><w:szCs w:val="22"/></w:rPr><w:t xml:space="preserve">Public Procurement and Asset Disposal Act, 2015</w:t></w:r><w:r><w:rPr><w:color w:val="333333"/><w:sz w:val="22"/><w:szCs w:val="22"/></w:rPr><w:t xml:space="preserve"> and its </w:t></w:r><w:r><w:rPr><w:color w:val="2C3E50"/><w:sz w:val="22"/><w:szCs w:val="22"/><w:b w:val="1"/><w:bCs w:val="1"/></w:rPr><w:t xml:space="preserve">Regulations, 2020</w:t></w:r><w:r><w:rPr><w:color w:val="333333"/><w:sz w:val="22"/><w:szCs w:val="22"/></w:rPr><w:t xml:space="preserve">Regulations, 2020</w:t></w:r><w:r><w:rPr><w:color w:val="333333"/><w:sz w:val="22"/><w:szCs w:val="22"/></w:rPr><w:t xml:space="preserve">. Every shilling spent by a public entity must pass through a defined procurement process. There are no shortcuts, and Losvinca must never attempt to circumvent these rules.</w:t></w:r></w:p><w:p><w:pPr><w:pStyle w:val="Normal"/></w:pPr><w:r><w:rPr><w:color w:val="333333"/><w:sz w:val="22"/><w:szCs w:val="22"/></w:rPr><w:t xml:space="preserve">However, procurement is not a barrier — it is a process. The key insight is this:</w:t></w:r></w:p><w:p><w:pPr><w:pStyle w:val="Normal"/></w:pPr><w:r><w:rPr><w:color w:val="2C3E50"/><w:sz w:val="22"/><w:szCs w:val="22"/><w:b w:val="1"/><w:bCs w:val="1"/></w:rPr><w:t xml:space="preserve">Procurement does not create demand. Demand creates procurement.</w:t></w:r><w:r><w:rPr><w:color w:val="333333"/><w:sz w:val="22"/><w:szCs w:val="22"/></w:rPr><w:t xml:space="preserve">Procurement does not create demand. Demand creates procurement.</w:t></w:r></w:p><w:p><w:pPr><w:pStyle w:val="Normal"/></w:pPr><w:r><w:rPr><w:color w:val="333333"/><w:sz w:val="22"/><w:szCs w:val="22"/></w:rPr><w:t xml:space="preserve">An institution that urgently needs a governance platform will find a way to procure it within the rules. An institution that does not feel the need will never procure it, no matter how competitive the price. Losvinca's strategy must therefore focus on two parallel tracks:</w:t></w:r></w:p><w:p><w:pPr><w:pStyle w:val="ListBullet"/><w:numPr><w:ilvl w:val="0"/><w:numId w:val="9"/></w:numPr></w:pPr><w:r><w:rPr><w:color w:val="2C3E50"/><w:sz w:val="22"/><w:szCs w:val="22"/><w:b w:val="1"/><w:bCs w:val="1"/></w:rPr><w:t xml:space="preserve">Demand creation:</w:t></w:r><w:r><w:rPr><w:color w:val="333333"/><w:sz w:val="22"/><w:szCs w:val="22"/></w:rPr><w:t xml:space="preserve">Demand creation:</w:t></w:r><w:r><w:rPr><w:color w:val="333333"/><w:sz w:val="22"/><w:szCs w:val="22"/></w:rPr><w:t xml:space="preserve"> Making the institution feel the urgency and understand the value before any tender is issued.</w:t></w:r></w:p><w:p><w:pPr><w:pStyle w:val="ListBullet"/><w:numPr><w:ilvl w:val="0"/><w:numId w:val="9"/></w:numPr></w:pPr><w:r><w:rPr><w:color w:val="2C3E50"/><w:sz w:val="22"/><w:szCs w:val="22"/><w:b w:val="1"/><w:bCs w:val="1"/></w:rPr><w:t xml:space="preserve">Procurement readiness:</w:t></w:r><w:r><w:rPr><w:color w:val="333333"/><w:sz w:val="22"/><w:szCs w:val="22"/></w:rPr><w:t xml:space="preserve">Procurement readiness:</w:t></w:r><w:r><w:rPr><w:color w:val="333333"/><w:sz w:val="22"/><w:szCs w:val="22"/></w:rPr><w:t xml:space="preserve"> Ensuring Losvinca can respond swiftly and competently when the procurement process begins.</w:t></w:r></w:p><w:p><w:pPr><w:pStyle w:val="Heading2"/></w:pPr><w:bookmarkStart w:id="4" w:name="_Toc4"/><w:r><w:t>15.2 UNDERSTANDING THE GOVERNMENT BUYING PROCESS</w:t></w:r><w:bookmarkEnd w:id="4"/></w:p><w:p><w:pPr><w:pStyle w:val="Heading3"/></w:pPr><w:bookmarkStart w:id="5" w:name="_Toc5"/><w:r><w:t>Typical Procurement Paths for Software/ICT Services</w:t></w:r><w:bookmarkEnd w:id="5"/></w:p><w:tbl><w:tblGrid><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Method</w:t></w:r></w:p></w:tc><w:tc><w:tcPr><w:vAlign w:val="top"/><w:shd w:val="clear" w:fill="1B4F72"/></w:tcPr><w:p><w:pPr><w:spacing w:after="20"/></w:pPr><w:r><w:rPr><w:color w:val="FFFFFF"/><w:sz w:val="18"/><w:szCs w:val="18"/><w:b w:val="1"/><w:bCs w:val="1"/></w:rPr><w:t xml:space="preserve">Threshold (KES)</w:t></w:r></w:p></w:tc><w:tc><w:tcPr><w:vAlign w:val="top"/><w:shd w:val="clear" w:fill="1B4F72"/></w:tcPr><w:p><w:pPr><w:spacing w:after="20"/></w:pPr><w:r><w:rPr><w:color w:val="FFFFFF"/><w:sz w:val="18"/><w:szCs w:val="18"/><w:b w:val="1"/><w:bCs w:val="1"/></w:rPr><w:t xml:space="preserve">Timeline</w:t></w:r></w:p></w:tc><w:tc><w:tcPr><w:vAlign w:val="top"/><w:shd w:val="clear" w:fill="1B4F72"/></w:tcPr><w:p><w:pPr><w:spacing w:after="20"/></w:pPr><w:r><w:rPr><w:color w:val="FFFFFF"/><w:sz w:val="18"/><w:szCs w:val="18"/><w:b w:val="1"/><w:bCs w:val="1"/></w:rPr><w:t xml:space="preserve">Best For</w:t></w:r></w:p></w:tc></w:tr><w:tr><w:trPr/><w:tc><w:tcPr><w:vAlign w:val="top"/></w:tcPr><w:p><w:pPr><w:spacing w:after="20"/></w:pPr><w:r><w:rPr><w:color w:val="333333"/><w:sz w:val="18"/><w:szCs w:val="18"/></w:rPr><w:t xml:space="preserve">**Direct procurement**</w:t></w:r></w:p></w:tc><w:tc><w:tcPr><w:vAlign w:val="top"/></w:tcPr><w:p><w:pPr><w:spacing w:after="20"/></w:pPr><w:r><w:rPr><w:color w:val="333333"/><w:sz w:val="18"/><w:szCs w:val="18"/></w:rPr><w:t xml:space="preserve">Up to 500,000 per item</w:t></w:r></w:p></w:tc><w:tc><w:tcPr><w:vAlign w:val="top"/></w:tcPr><w:p><w:pPr><w:spacing w:after="20"/></w:pPr><w:r><w:rPr><w:color w:val="333333"/><w:sz w:val="18"/><w:szCs w:val="18"/></w:rPr><w:t xml:space="preserve">1–4 weeks</w:t></w:r></w:p></w:tc><w:tc><w:tcPr><w:vAlign w:val="top"/></w:tcPr><w:p><w:pPr><w:spacing w:after="20"/></w:pPr><w:r><w:rPr><w:color w:val="333333"/><w:sz w:val="18"/><w:szCs w:val="18"/></w:rPr><w:t xml:space="preserve">Pilot engagements, small-scope deployments</w:t></w:r></w:p></w:tc></w:tr><w:tr><w:trPr/><w:tc><w:tcPr><w:vAlign w:val="top"/><w:shd w:val="clear" w:fill="F8F9FA"/></w:tcPr><w:p><w:pPr><w:spacing w:after="20"/></w:pPr><w:r><w:rPr><w:color w:val="333333"/><w:sz w:val="18"/><w:szCs w:val="18"/></w:rPr><w:t xml:space="preserve">**Request for Quotation (RFQ)**</w:t></w:r></w:p></w:tc><w:tc><w:tcPr><w:vAlign w:val="top"/><w:shd w:val="clear" w:fill="F8F9FA"/></w:tcPr><w:p><w:pPr><w:spacing w:after="20"/></w:pPr><w:r><w:rPr><w:color w:val="333333"/><w:sz w:val="18"/><w:szCs w:val="18"/></w:rPr><w:t xml:space="preserve">500,001 – 6,000,000</w:t></w:r></w:p></w:tc><w:tc><w:tcPr><w:vAlign w:val="top"/><w:shd w:val="clear" w:fill="F8F9FA"/></w:tcPr><w:p><w:pPr><w:spacing w:after="20"/></w:pPr><w:r><w:rPr><w:color w:val="333333"/><w:sz w:val="18"/><w:szCs w:val="18"/></w:rPr><w:t xml:space="preserve">4–8 weeks</w:t></w:r></w:p></w:tc><w:tc><w:tcPr><w:vAlign w:val="top"/><w:shd w:val="clear" w:fill="F8F9FA"/></w:tcPr><w:p><w:pPr><w:spacing w:after="20"/></w:pPr><w:r><w:rPr><w:color w:val="333333"/><w:sz w:val="18"/><w:szCs w:val="18"/></w:rPr><w:t xml:space="preserve">Professional/Enterprise tier deployments</w:t></w:r></w:p></w:tc></w:tr><w:tr><w:trPr/><w:tc><w:tcPr><w:vAlign w:val="top"/></w:tcPr><w:p><w:pPr><w:spacing w:after="20"/></w:pPr><w:r><w:rPr><w:color w:val="333333"/><w:sz w:val="18"/><w:szCs w:val="18"/></w:rPr><w:t xml:space="preserve">**Open tender**</w:t></w:r></w:p></w:tc><w:tc><w:tcPr><w:vAlign w:val="top"/></w:tcPr><w:p><w:pPr><w:spacing w:after="20"/></w:pPr><w:r><w:rPr><w:color w:val="333333"/><w:sz w:val="18"/><w:szCs w:val="18"/></w:rPr><w:t xml:space="preserve">Above 6,000,000</w:t></w:r></w:p></w:tc><w:tc><w:tcPr><w:vAlign w:val="top"/></w:tcPr><w:p><w:pPr><w:spacing w:after="20"/></w:pPr><w:r><w:rPr><w:color w:val="333333"/><w:sz w:val="18"/><w:szCs w:val="18"/></w:rPr><w:t xml:space="preserve">8–16 weeks</w:t></w:r></w:p></w:tc><w:tc><w:tcPr><w:vAlign w:val="top"/></w:tcPr><w:p><w:pPr><w:spacing w:after="20"/></w:pPr><w:r><w:rPr><w:color w:val="333333"/><w:sz w:val="18"/><w:szCs w:val="18"/></w:rPr><w:t xml:space="preserve">Large Enterprise or multi-year engagements</w:t></w:r></w:p></w:tc></w:tr><w:tr><w:trPr/><w:tc><w:tcPr><w:vAlign w:val="top"/><w:shd w:val="clear" w:fill="F8F9FA"/></w:tcPr><w:p><w:pPr><w:spacing w:after="20"/></w:pPr><w:r><w:rPr><w:color w:val="333333"/><w:sz w:val="18"/><w:szCs w:val="18"/></w:rPr><w:t xml:space="preserve">**Restricted tender**</w:t></w:r></w:p></w:tc><w:tc><w:tcPr><w:vAlign w:val="top"/><w:shd w:val="clear" w:fill="F8F9FA"/></w:tcPr><w:p><w:pPr><w:spacing w:after="20"/></w:pPr><w:r><w:rPr><w:color w:val="333333"/><w:sz w:val="18"/><w:szCs w:val="18"/></w:rPr><w:t xml:space="preserve">Any value (with justification)</w:t></w:r></w:p></w:tc><w:tc><w:tcPr><w:vAlign w:val="top"/><w:shd w:val="clear" w:fill="F8F9FA"/></w:tcPr><w:p><w:pPr><w:spacing w:after="20"/></w:pPr><w:r><w:rPr><w:color w:val="333333"/><w:sz w:val="18"/><w:szCs w:val="18"/></w:rPr><w:t xml:space="preserve">6–12 weeks</w:t></w:r></w:p></w:tc><w:tc><w:tcPr><w:vAlign w:val="top"/><w:shd w:val="clear" w:fill="F8F9FA"/></w:tcPr><w:p><w:pPr><w:spacing w:after="20"/></w:pPr><w:r><w:rPr><w:color w:val="333333"/><w:sz w:val="18"/><w:szCs w:val="18"/></w:rPr><w:t xml:space="preserve">Specialised/proprietary solutions</w:t></w:r></w:p></w:tc></w:tr><w:tr><w:trPr/><w:tc><w:tcPr><w:vAlign w:val="top"/></w:tcPr><w:p><w:pPr><w:spacing w:after="20"/></w:pPr><w:r><w:rPr><w:color w:val="333333"/><w:sz w:val="18"/><w:szCs w:val="18"/></w:rPr><w:t xml:space="preserve">**Framework contract**</w:t></w:r></w:p></w:tc><w:tc><w:tcPr><w:vAlign w:val="top"/></w:tcPr><w:p><w:pPr><w:spacing w:after="20"/></w:pPr><w:r><w:rPr><w:color w:val="333333"/><w:sz w:val="18"/><w:szCs w:val="18"/></w:rPr><w:t xml:space="preserve">Any value</w:t></w:r></w:p></w:tc><w:tc><w:tcPr><w:vAlign w:val="top"/></w:tcPr><w:p><w:pPr><w:spacing w:after="20"/></w:pPr><w:r><w:rPr><w:color w:val="333333"/><w:sz w:val="18"/><w:szCs w:val="18"/></w:rPr><w:t xml:space="preserve">Varies</w:t></w:r></w:p></w:tc><w:tc><w:tcPr><w:vAlign w:val="top"/></w:tcPr><w:p><w:pPr><w:spacing w:after="20"/></w:pPr><w:r><w:rPr><w:color w:val="333333"/><w:sz w:val="18"/><w:szCs w:val="18"/></w:rPr><w:t xml:space="preserve">Multi-institution or panel arrangements</w:t></w:r></w:p></w:tc></w:tr></w:tbl><w:p><w:pPr><w:pStyle w:val="Normal"/></w:pPr><w:r><w:rPr><w:color w:val="333333"/><w:sz w:val="22"/><w:szCs w:val="22"/><w:i w:val="1"/><w:iCs w:val="1"/></w:rPr><w:t xml:space="preserve">Thresholds are indicative and may vary by entity category. Always confirm current thresholds.</w:t></w:r><w:r><w:rPr><w:color w:val="333333"/><w:sz w:val="22"/><w:szCs w:val="22"/></w:rPr><w:t xml:space="preserve">Thresholds are indicative and may vary by entity category. Always confirm current thresholds.</w:t></w:r></w:p><w:p><w:pPr><w:pStyle w:val="Heading3"/></w:pPr><w:bookmarkStart w:id="6" w:name="_Toc6"/><w:r><w:t>Key Decision-Makers in a Government Institution</w:t></w:r><w:bookmarkEnd w:id="6"/></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Role</w:t></w:r></w:p></w:tc><w:tc><w:tcPr><w:vAlign w:val="top"/><w:shd w:val="clear" w:fill="1B4F72"/></w:tcPr><w:p><w:pPr><w:spacing w:after="20"/></w:pPr><w:r><w:rPr><w:color w:val="FFFFFF"/><w:sz w:val="18"/><w:szCs w:val="18"/><w:b w:val="1"/><w:bCs w:val="1"/></w:rPr><w:t xml:space="preserve">Influence</w:t></w:r></w:p></w:tc><w:tc><w:tcPr><w:vAlign w:val="top"/><w:shd w:val="clear" w:fill="1B4F72"/></w:tcPr><w:p><w:pPr><w:spacing w:after="20"/></w:pPr><w:r><w:rPr><w:color w:val="FFFFFF"/><w:sz w:val="18"/><w:szCs w:val="18"/><w:b w:val="1"/><w:bCs w:val="1"/></w:rPr><w:t xml:space="preserve">What They Care About</w:t></w:r></w:p></w:tc></w:tr><w:tr><w:trPr/><w:tc><w:tcPr><w:vAlign w:val="top"/></w:tcPr><w:p><w:pPr><w:spacing w:after="20"/></w:pPr><w:r><w:rPr><w:color w:val="333333"/><w:sz w:val="18"/><w:szCs w:val="18"/></w:rPr><w:t xml:space="preserve">**Corporation Secretary / Board Secretary**</w:t></w:r></w:p></w:tc><w:tc><w:tcPr><w:vAlign w:val="top"/></w:tcPr><w:p><w:pPr><w:spacing w:after="20"/></w:pPr><w:r><w:rPr><w:color w:val="333333"/><w:sz w:val="18"/><w:szCs w:val="18"/></w:rPr><w:t xml:space="preserve">Very High — direct user, governance accountability</w:t></w:r></w:p></w:tc><w:tc><w:tcPr><w:vAlign w:val="top"/></w:tcPr><w:p><w:pPr><w:spacing w:after="20"/></w:pPr><w:r><w:rPr><w:color w:val="333333"/><w:sz w:val="18"/><w:szCs w:val="18"/></w:rPr><w:t xml:space="preserve">Compliance, meeting efficiency, document integrity, audit readiness</w:t></w:r></w:p></w:tc></w:tr><w:tr><w:trPr/><w:tc><w:tcPr><w:vAlign w:val="top"/><w:shd w:val="clear" w:fill="F8F9FA"/></w:tcPr><w:p><w:pPr><w:spacing w:after="20"/></w:pPr><w:r><w:rPr><w:color w:val="333333"/><w:sz w:val="18"/><w:szCs w:val="18"/></w:rPr><w:t xml:space="preserve">**CEO / Managing Director**</w:t></w:r></w:p></w:tc><w:tc><w:tcPr><w:vAlign w:val="top"/><w:shd w:val="clear" w:fill="F8F9FA"/></w:tcPr><w:p><w:pPr><w:spacing w:after="20"/></w:pPr><w:r><w:rPr><w:color w:val="333333"/><w:sz w:val="18"/><w:szCs w:val="18"/></w:rPr><w:t xml:space="preserve">Very High — budget holder, final approver</w:t></w:r></w:p></w:tc><w:tc><w:tcPr><w:vAlign w:val="top"/><w:shd w:val="clear" w:fill="F8F9FA"/></w:tcPr><w:p><w:pPr><w:spacing w:after="20"/></w:pPr><w:r><w:rPr><w:color w:val="333333"/><w:sz w:val="18"/><w:szCs w:val="18"/></w:rPr><w:t xml:space="preserve">Strategic value, cost justification, institutional reputation, risk reduction</w:t></w:r></w:p></w:tc></w:tr><w:tr><w:trPr/><w:tc><w:tcPr><w:vAlign w:val="top"/></w:tcPr><w:p><w:pPr><w:spacing w:after="20"/></w:pPr><w:r><w:rPr><w:color w:val="333333"/><w:sz w:val="18"/><w:szCs w:val="18"/></w:rPr><w:t xml:space="preserve">**ICT Manager / Director**</w:t></w:r></w:p></w:tc><w:tc><w:tcPr><w:vAlign w:val="top"/></w:tcPr><w:p><w:pPr><w:spacing w:after="20"/></w:pPr><w:r><w:rPr><w:color w:val="333333"/><w:sz w:val="18"/><w:szCs w:val="18"/></w:rPr><w:t xml:space="preserve">High — technical gatekeeper</w:t></w:r></w:p></w:tc><w:tc><w:tcPr><w:vAlign w:val="top"/></w:tcPr><w:p><w:pPr><w:spacing w:after="20"/></w:pPr><w:r><w:rPr><w:color w:val="333333"/><w:sz w:val="18"/><w:szCs w:val="18"/></w:rPr><w:t xml:space="preserve">Security, hosting, integration, technical feasibility, maintenance burden</w:t></w:r></w:p></w:tc></w:tr><w:tr><w:trPr/><w:tc><w:tcPr><w:vAlign w:val="top"/><w:shd w:val="clear" w:fill="F8F9FA"/></w:tcPr><w:p><w:pPr><w:spacing w:after="20"/></w:pPr><w:r><w:rPr><w:color w:val="333333"/><w:sz w:val="18"/><w:szCs w:val="18"/></w:rPr><w:t xml:space="preserve">**Chief Finance Officer**</w:t></w:r></w:p></w:tc><w:tc><w:tcPr><w:vAlign w:val="top"/><w:shd w:val="clear" w:fill="F8F9FA"/></w:tcPr><w:p><w:pPr><w:spacing w:after="20"/></w:pPr><w:r><w:rPr><w:color w:val="333333"/><w:sz w:val="18"/><w:szCs w:val="18"/></w:rPr><w:t xml:space="preserve">High — budget allocation</w:t></w:r></w:p></w:tc><w:tc><w:tcPr><w:vAlign w:val="top"/><w:shd w:val="clear" w:fill="F8F9FA"/></w:tcPr><w:p><w:pPr><w:spacing w:after="20"/></w:pPr><w:r><w:rPr><w:color w:val="333333"/><w:sz w:val="18"/><w:szCs w:val="18"/></w:rPr><w:t xml:space="preserve">Cost, ROI, budget-line alignment, payment terms</w:t></w:r></w:p></w:tc></w:tr><w:tr><w:trPr/><w:tc><w:tcPr><w:vAlign w:val="top"/></w:tcPr><w:p><w:pPr><w:spacing w:after="20"/></w:pPr><w:r><w:rPr><w:color w:val="333333"/><w:sz w:val="18"/><w:szCs w:val="18"/></w:rPr><w:t xml:space="preserve">**Head of Supply Chain / Procurement**</w:t></w:r></w:p></w:tc><w:tc><w:tcPr><w:vAlign w:val="top"/></w:tcPr><w:p><w:pPr><w:spacing w:after="20"/></w:pPr><w:r><w:rPr><w:color w:val="333333"/><w:sz w:val="18"/><w:szCs w:val="18"/></w:rPr><w:t xml:space="preserve">High — process controller</w:t></w:r></w:p></w:tc><w:tc><w:tcPr><w:vAlign w:val="top"/></w:tcPr><w:p><w:pPr><w:spacing w:after="20"/></w:pPr><w:r><w:rPr><w:color w:val="333333"/><w:sz w:val="18"/><w:szCs w:val="18"/></w:rPr><w:t xml:space="preserve">Compliance with procurement law, vendor eligibility, documentation completeness</w:t></w:r></w:p></w:tc></w:tr><w:tr><w:trPr/><w:tc><w:tcPr><w:vAlign w:val="top"/><w:shd w:val="clear" w:fill="F8F9FA"/></w:tcPr><w:p><w:pPr><w:spacing w:after="20"/></w:pPr><w:r><w:rPr><w:color w:val="333333"/><w:sz w:val="18"/><w:szCs w:val="18"/></w:rPr><w:t xml:space="preserve">**Internal Audit**</w:t></w:r></w:p></w:tc><w:tc><w:tcPr><w:vAlign w:val="top"/><w:shd w:val="clear" w:fill="F8F9FA"/></w:tcPr><w:p><w:pPr><w:spacing w:after="20"/></w:pPr><w:r><w:rPr><w:color w:val="333333"/><w:sz w:val="18"/><w:szCs w:val="18"/></w:rPr><w:t xml:space="preserve">Medium — compliance oversight</w:t></w:r></w:p></w:tc><w:tc><w:tcPr><w:vAlign w:val="top"/><w:shd w:val="clear" w:fill="F8F9FA"/></w:tcPr><w:p><w:pPr><w:spacing w:after="20"/></w:pPr><w:r><w:rPr><w:color w:val="333333"/><w:sz w:val="18"/><w:szCs w:val="18"/></w:rPr><w:t xml:space="preserve">Audit trail, controls, governance compliance</w:t></w:r></w:p></w:tc></w:tr><w:tr><w:trPr/><w:tc><w:tcPr><w:vAlign w:val="top"/></w:tcPr><w:p><w:pPr><w:spacing w:after="20"/></w:pPr><w:r><w:rPr><w:color w:val="333333"/><w:sz w:val="18"/><w:szCs w:val="18"/></w:rPr><w:t xml:space="preserve">**Board Chairperson**</w:t></w:r></w:p></w:tc><w:tc><w:tcPr><w:vAlign w:val="top"/></w:tcPr><w:p><w:pPr><w:spacing w:after="20"/></w:pPr><w:r><w:rPr><w:color w:val="333333"/><w:sz w:val="18"/><w:szCs w:val="18"/></w:rPr><w:t xml:space="preserve">Variable — strategic influence</w:t></w:r></w:p></w:tc><w:tc><w:tcPr><w:vAlign w:val="top"/></w:tcPr><w:p><w:pPr><w:spacing w:after="20"/></w:pPr><w:r><w:rPr><w:color w:val="333333"/><w:sz w:val="18"/><w:szCs w:val="18"/></w:rPr><w:t xml:space="preserve">Board effectiveness, modern governance, peer benchmarking</w:t></w:r></w:p></w:tc></w:tr><w:tr><w:trPr/><w:tc><w:tcPr><w:vAlign w:val="top"/><w:shd w:val="clear" w:fill="F8F9FA"/></w:tcPr><w:p><w:pPr><w:spacing w:after="20"/></w:pPr><w:r><w:rPr><w:color w:val="333333"/><w:sz w:val="18"/><w:szCs w:val="18"/></w:rPr><w:t xml:space="preserve">**Individual Board Members**</w:t></w:r></w:p></w:tc><w:tc><w:tcPr><w:vAlign w:val="top"/><w:shd w:val="clear" w:fill="F8F9FA"/></w:tcPr><w:p><w:pPr><w:spacing w:after="20"/></w:pPr><w:r><w:rPr><w:color w:val="333333"/><w:sz w:val="18"/><w:szCs w:val="18"/></w:rPr><w:t xml:space="preserve">Low directly, high collectively</w:t></w:r></w:p></w:tc><w:tc><w:tcPr><w:vAlign w:val="top"/><w:shd w:val="clear" w:fill="F8F9FA"/></w:tcPr><w:p><w:pPr><w:spacing w:after="20"/></w:pPr><w:r><w:rPr><w:color w:val="333333"/><w:sz w:val="18"/><w:szCs w:val="18"/></w:rPr><w:t xml:space="preserve">Ease of use, access to papers, iPad portal, meeting preparation</w:t></w:r></w:p></w:tc></w:tr></w:tbl><w:p><w:pPr><w:pStyle w:val="Heading2"/></w:pPr><w:bookmarkStart w:id="7" w:name="_Toc7"/><w:r><w:t>15.3 DEMAND CREATION: THE PRE-PROCUREMENT STRATEGY</w:t></w:r><w:bookmarkEnd w:id="7"/></w:p><w:p><w:pPr><w:pStyle w:val="Heading3"/></w:pPr><w:bookmarkStart w:id="8" w:name="_Toc8"/><w:r><w:t>15.3.1 The Demand Creation Funnel</w:t></w:r><w:bookmarkEnd w:id="8"/></w:p><w:p><w:pPr><w:ind w:left="240" w:right="0"/><w:spacing w:after="80"/><w:shd w:val="clear" w:fill="F4F4F4"/></w:pPr><w:r><w:rPr><w:rFonts w:ascii="Consolas" w:hAnsi="Consolas" w:eastAsia="Consolas" w:cs="Consolas"/><w:color w:val="2C3E50"/><w:sz w:val="18"/><w:szCs w:val="18"/></w:rPr><w:t xml:space="preserve">AWARENESS → INTEREST → EVALUATION → INTERNAL ADVOCACY → BUDGET ALLOCATION → PROCUREMENT</w:t></w:r></w:p><w:p><w:pPr><w:pStyle w:val="Normal"/></w:pPr><w:r><w:rPr><w:color w:val="333333"/><w:sz w:val="22"/><w:szCs w:val="22"/></w:rPr><w:t xml:space="preserve">Losvinca must be active in the first four stages. By the time an institution reaches "budget allocation," E-Board should already be the solution they have in mind.</w:t></w:r></w:p><w:p><w:pPr><w:pStyle w:val="Heading3"/></w:pPr><w:bookmarkStart w:id="9" w:name="_Toc9"/><w:r><w:t>15.3.2 Awareness: Getting on the Radar</w:t></w:r><w:bookmarkEnd w:id="9"/></w:p><w:p><w:pPr><w:pStyle w:val="Normal"/></w:pPr><w:r><w:rPr><w:color w:val="2C3E50"/><w:sz w:val="22"/><w:szCs w:val="22"/><w:b w:val="1"/><w:bCs w:val="1"/></w:rPr><w:t xml:space="preserve">a) Governance Thought Leadership</w:t></w:r><w:r><w:rPr><w:color w:val="333333"/><w:sz w:val="22"/><w:szCs w:val="22"/></w:rPr><w:t xml:space="preserve">a) Governance Thought Leadership</w:t></w:r></w:p><w:p><w:pPr><w:pStyle w:val="ListBullet"/><w:numPr><w:ilvl w:val="0"/><w:numId w:val="8"/></w:numPr></w:pPr><w:r><w:rPr><w:color w:val="333333"/><w:sz w:val="22"/><w:szCs w:val="22"/></w:rPr><w:t xml:space="preserve">Publish articles, white papers, and opinion pieces on board governance best practices in Kenya.</w:t></w:r></w:p><w:p><w:pPr><w:pStyle w:val="ListBullet"/><w:numPr><w:ilvl w:val="0"/><w:numId w:val="8"/></w:numPr></w:pPr><w:r><w:rPr><w:color w:val="333333"/><w:sz w:val="22"/><w:szCs w:val="22"/></w:rPr><w:t xml:space="preserve">Topics that resonate with government institutions:</w:t></w:r></w:p><w:p><w:pPr><w:pStyle w:val="ListBullet"/><w:numPr><w:ilvl w:val="1"/><w:numId w:val="8"/></w:numPr></w:pPr><w:r><w:rPr><w:color w:val="333333"/><w:sz w:val="22"/><w:szCs w:val="22"/></w:rPr><w:t xml:space="preserve">"Digital Governance: How Technology is Transforming Board Effectiveness in Kenya's Public Sector"</w:t></w:r></w:p><w:p><w:pPr><w:pStyle w:val="ListBullet"/><w:numPr><w:ilvl w:val="1"/><w:numId w:val="8"/></w:numPr></w:pPr><w:r><w:rPr><w:color w:val="333333"/><w:sz w:val="22"/><w:szCs w:val="22"/></w:rPr><w:t xml:space="preserve">"Compliance with Mwongozo: What Every Corporation Secretary Should Know About Digital Board Management"</w:t></w:r></w:p><w:p><w:pPr><w:pStyle w:val="ListBullet"/><w:numPr><w:ilvl w:val="1"/><w:numId w:val="8"/></w:numPr></w:pPr><w:r><w:rPr><w:color w:val="333333"/><w:sz w:val="22"/><w:szCs w:val="22"/></w:rPr><w:t xml:space="preserve">"The Hidden Cost of Paper-Based Board Governance"</w:t></w:r></w:p><w:p><w:pPr><w:pStyle w:val="ListBullet"/><w:numPr><w:ilvl w:val="1"/><w:numId w:val="8"/></w:numPr></w:pPr><w:r><w:rPr><w:color w:val="333333"/><w:sz w:val="22"/><w:szCs w:val="22"/></w:rPr><w:t xml:space="preserve">"Audit-Ready Governance: Building a Complete Digital Audit Trail"</w:t></w:r></w:p><w:p><w:pPr><w:pStyle w:val="ListBullet"/><w:numPr><w:ilvl w:val="0"/><w:numId w:val="8"/></w:numPr></w:pPr><w:r><w:rPr><w:color w:val="333333"/><w:sz w:val="22"/><w:szCs w:val="22"/></w:rPr><w:t xml:space="preserve">Publish on LinkedIn, in the Business Daily, in the Kenya Gazette (opinion sections), and in governance-focused newsletters.</w:t></w:r></w:p><w:p><w:pPr><w:pStyle w:val="ListBullet"/><w:numPr><w:ilvl w:val="0"/><w:numId w:val="8"/></w:numPr></w:pPr><w:r><w:rPr><w:color w:val="333333"/><w:sz w:val="22"/><w:szCs w:val="22"/></w:rPr><w:t xml:space="preserve">Present at conferences and seminars (see below).</w:t></w:r></w:p><w:p><w:pPr><w:pStyle w:val="Normal"/></w:pPr><w:r><w:rPr><w:color w:val="333333"/><w:sz w:val="22"/><w:szCs w:val="22"/></w:rPr><w:t xml:space="preserve">[REQUIRES LOSVINCA INPUT — identify internal subject-matter expert to author thought leadership]</w:t></w:r></w:p><w:p><w:pPr><w:pStyle w:val="Normal"/></w:pPr><w:r><w:rPr><w:color w:val="2C3E50"/><w:sz w:val="22"/><w:szCs w:val="22"/><w:b w:val="1"/><w:bCs w:val="1"/></w:rPr><w:t xml:space="preserve">b) Conference and Event Presence</w:t></w:r><w:r><w:rPr><w:color w:val="333333"/><w:sz w:val="22"/><w:szCs w:val="22"/></w:rPr><w:t xml:space="preserve">b) Conference and Event Presence</w:t></w:r></w:p><w:p><w:pPr><w:pStyle w:val="Normal"/></w:pPr><w:r><w:rPr><w:color w:val="333333"/><w:sz w:val="22"/><w:szCs w:val="22"/></w:rPr><w:t xml:space="preserve">Target events attended by Corporation Secretaries, board members, and governance professionals:</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Event</w:t></w:r></w:p></w:tc><w:tc><w:tcPr><w:vAlign w:val="top"/><w:shd w:val="clear" w:fill="1B4F72"/></w:tcPr><w:p><w:pPr><w:spacing w:after="20"/></w:pPr><w:r><w:rPr><w:color w:val="FFFFFF"/><w:sz w:val="18"/><w:szCs w:val="18"/><w:b w:val="1"/><w:bCs w:val="1"/></w:rPr><w:t xml:space="preserve">Organiser</w:t></w:r></w:p></w:tc><w:tc><w:tcPr><w:vAlign w:val="top"/><w:shd w:val="clear" w:fill="1B4F72"/></w:tcPr><w:p><w:pPr><w:spacing w:after="20"/></w:pPr><w:r><w:rPr><w:color w:val="FFFFFF"/><w:sz w:val="18"/><w:szCs w:val="18"/><w:b w:val="1"/><w:bCs w:val="1"/></w:rPr><w:t xml:space="preserve">Relevance</w:t></w:r></w:p></w:tc></w:tr><w:tr><w:trPr/><w:tc><w:tcPr><w:vAlign w:val="top"/></w:tcPr><w:p><w:pPr><w:spacing w:after="20"/></w:pPr><w:r><w:rPr><w:color w:val="333333"/><w:sz w:val="18"/><w:szCs w:val="18"/></w:rPr><w:t xml:space="preserve">ICPSK Annual Conference</w:t></w:r></w:p></w:tc><w:tc><w:tcPr><w:vAlign w:val="top"/></w:tcPr><w:p><w:pPr><w:spacing w:after="20"/></w:pPr><w:r><w:rPr><w:color w:val="333333"/><w:sz w:val="18"/><w:szCs w:val="18"/></w:rPr><w:t xml:space="preserve">Institute of Certified Public Secretaries of Kenya</w:t></w:r></w:p></w:tc><w:tc><w:tcPr><w:vAlign w:val="top"/></w:tcPr><w:p><w:pPr><w:spacing w:after="20"/></w:pPr><w:r><w:rPr><w:color w:val="333333"/><w:sz w:val="18"/><w:szCs w:val="18"/></w:rPr><w:t xml:space="preserve">Corporation Secretaries — primary users</w:t></w:r></w:p></w:tc></w:tr><w:tr><w:trPr/><w:tc><w:tcPr><w:vAlign w:val="top"/><w:shd w:val="clear" w:fill="F8F9FA"/></w:tcPr><w:p><w:pPr><w:spacing w:after="20"/></w:pPr><w:r><w:rPr><w:color w:val="333333"/><w:sz w:val="18"/><w:szCs w:val="18"/></w:rPr><w:t xml:space="preserve">Annual Corporate Governance Conference</w:t></w:r></w:p></w:tc><w:tc><w:tcPr><w:vAlign w:val="top"/><w:shd w:val="clear" w:fill="F8F9FA"/></w:tcPr><w:p><w:pPr><w:spacing w:after="20"/></w:pPr><w:r><w:rPr><w:color w:val="333333"/><w:sz w:val="18"/><w:szCs w:val="18"/></w:rPr><w:t xml:space="preserve">Various organisers</w:t></w:r></w:p></w:tc><w:tc><w:tcPr><w:vAlign w:val="top"/><w:shd w:val="clear" w:fill="F8F9FA"/></w:tcPr><w:p><w:pPr><w:spacing w:after="20"/></w:pPr><w:r><w:rPr><w:color w:val="333333"/><w:sz w:val="18"/><w:szCs w:val="18"/></w:rPr><w:t xml:space="preserve">Board members, governance practitioners</w:t></w:r></w:p></w:tc></w:tr><w:tr><w:trPr/><w:tc><w:tcPr><w:vAlign w:val="top"/></w:tcPr><w:p><w:pPr><w:spacing w:after="20"/></w:pPr><w:r><w:rPr><w:color w:val="333333"/><w:sz w:val="18"/><w:szCs w:val="18"/></w:rPr><w:t xml:space="preserve">Public Sector ICT Conference</w:t></w:r></w:p></w:tc><w:tc><w:tcPr><w:vAlign w:val="top"/></w:tcPr><w:p><w:pPr><w:spacing w:after="20"/></w:pPr><w:r><w:rPr><w:color w:val="333333"/><w:sz w:val="18"/><w:szCs w:val="18"/></w:rPr><w:t xml:space="preserve">ICT Authority / Ministry of ICT</w:t></w:r></w:p></w:tc><w:tc><w:tcPr><w:vAlign w:val="top"/></w:tcPr><w:p><w:pPr><w:spacing w:after="20"/></w:pPr><w:r><w:rPr><w:color w:val="333333"/><w:sz w:val="18"/><w:szCs w:val="18"/></w:rPr><w:t xml:space="preserve">ICT decision-makers in government</w:t></w:r></w:p></w:tc></w:tr><w:tr><w:trPr/><w:tc><w:tcPr><w:vAlign w:val="top"/><w:shd w:val="clear" w:fill="F8F9FA"/></w:tcPr><w:p><w:pPr><w:spacing w:after="20"/></w:pPr><w:r><w:rPr><w:color w:val="333333"/><w:sz w:val="18"/><w:szCs w:val="18"/></w:rPr><w:t xml:space="preserve">Kenya Institute of Management events</w:t></w:r></w:p></w:tc><w:tc><w:tcPr><w:vAlign w:val="top"/><w:shd w:val="clear" w:fill="F8F9FA"/></w:tcPr><w:p><w:pPr><w:spacing w:after="20"/></w:pPr><w:r><w:rPr><w:color w:val="333333"/><w:sz w:val="18"/><w:szCs w:val="18"/></w:rPr><w:t xml:space="preserve">KIM</w:t></w:r></w:p></w:tc><w:tc><w:tcPr><w:vAlign w:val="top"/><w:shd w:val="clear" w:fill="F8F9FA"/></w:tcPr><w:p><w:pPr><w:spacing w:after="20"/></w:pPr><w:r><w:rPr><w:color w:val="333333"/><w:sz w:val="18"/><w:szCs w:val="18"/></w:rPr><w:t xml:space="preserve">Management and governance professionals</w:t></w:r></w:p></w:tc></w:tr><w:tr><w:trPr/><w:tc><w:tcPr><w:vAlign w:val="top"/></w:tcPr><w:p><w:pPr><w:spacing w:after="20"/></w:pPr><w:r><w:rPr><w:color w:val="333333"/><w:sz w:val="18"/><w:szCs w:val="18"/></w:rPr><w:t xml:space="preserve">County Government forums</w:t></w:r></w:p></w:tc><w:tc><w:tcPr><w:vAlign w:val="top"/></w:tcPr><w:p><w:pPr><w:spacing w:after="20"/></w:pPr><w:r><w:rPr><w:color w:val="333333"/><w:sz w:val="18"/><w:szCs w:val="18"/></w:rPr><w:t xml:space="preserve">Council of Governors</w:t></w:r></w:p></w:tc><w:tc><w:tcPr><w:vAlign w:val="top"/></w:tcPr><w:p><w:pPr><w:spacing w:after="20"/></w:pPr><w:r><w:rPr><w:color w:val="333333"/><w:sz w:val="18"/><w:szCs w:val="18"/></w:rPr><w:t xml:space="preserve">County-level decision-makers</w:t></w:r></w:p></w:tc></w:tr><w:tr><w:trPr/><w:tc><w:tcPr><w:vAlign w:val="top"/><w:shd w:val="clear" w:fill="F8F9FA"/></w:tcPr><w:p><w:pPr><w:spacing w:after="20"/></w:pPr><w:r><w:rPr><w:color w:val="333333"/><w:sz w:val="18"/><w:szCs w:val="18"/></w:rPr><w:t xml:space="preserve">Parastatal / State Corporation forums</w:t></w:r></w:p></w:tc><w:tc><w:tcPr><w:vAlign w:val="top"/><w:shd w:val="clear" w:fill="F8F9FA"/></w:tcPr><w:p><w:pPr><w:spacing w:after="20"/></w:pPr><w:r><w:rPr><w:color w:val="333333"/><w:sz w:val="18"/><w:szCs w:val="18"/></w:rPr><w:t xml:space="preserve">State Corporations Advisory Committee (SCAC)</w:t></w:r></w:p></w:tc><w:tc><w:tcPr><w:vAlign w:val="top"/><w:shd w:val="clear" w:fill="F8F9FA"/></w:tcPr><w:p><w:pPr><w:spacing w:after="20"/></w:pPr><w:r><w:rPr><w:color w:val="333333"/><w:sz w:val="18"/><w:szCs w:val="18"/></w:rPr><w:t xml:space="preserve">Parastatal CEOs and Corporation Secretaries</w:t></w:r></w:p></w:tc></w:tr></w:tbl><w:p><w:pPr><w:pStyle w:val="Normal"/></w:pPr><w:r><w:rPr><w:color w:val="2C3E50"/><w:sz w:val="22"/><w:szCs w:val="22"/><w:b w:val="1"/><w:bCs w:val="1"/></w:rPr><w:t xml:space="preserve">Strategy at events:</w:t></w:r><w:r><w:rPr><w:color w:val="333333"/><w:sz w:val="22"/><w:szCs w:val="22"/></w:rPr><w:t xml:space="preserve">Strategy at events:</w:t></w:r></w:p><w:p><w:pPr><w:pStyle w:val="ListBullet"/><w:numPr><w:ilvl w:val="0"/><w:numId w:val="8"/></w:numPr></w:pPr><w:r><w:rPr><w:color w:val="333333"/><w:sz w:val="22"/><w:szCs w:val="22"/></w:rPr><w:t xml:space="preserve">Seek speaking slots, not just exhibition booths. A 20-minute presentation on "digital board governance" is worth more than a banner.</w:t></w:r></w:p><w:p><w:pPr><w:pStyle w:val="ListBullet"/><w:numPr><w:ilvl w:val="0"/><w:numId w:val="8"/></w:numPr></w:pPr><w:r><w:rPr><w:color w:val="333333"/><w:sz w:val="22"/><w:szCs w:val="22"/></w:rPr><w:t xml:space="preserve">Run a live demonstration on a projector or large screen.</w:t></w:r></w:p><w:p><w:pPr><w:pStyle w:val="ListBullet"/><w:numPr><w:ilvl w:val="0"/><w:numId w:val="8"/></w:numPr></w:pPr><w:r><w:rPr><w:color w:val="333333"/><w:sz w:val="22"/><w:szCs w:val="22"/></w:rPr><w:t xml:space="preserve">Collect business cards and follow up within 48 hours (see Part 16 for templates).</w:t></w:r></w:p><w:p><w:pPr><w:pStyle w:val="ListBullet"/><w:numPr><w:ilvl w:val="0"/><w:numId w:val="8"/></w:numPr></w:pPr><w:r><w:rPr><w:color w:val="333333"/><w:sz w:val="22"/><w:szCs w:val="22"/></w:rPr><w:t xml:space="preserve">Offer a "governance health check" conversation — not a sales pitch.</w:t></w:r></w:p><w:p><w:pPr><w:pStyle w:val="Normal"/></w:pPr><w:r><w:rPr><w:color w:val="2C3E50"/><w:sz w:val="22"/><w:szCs w:val="22"/><w:b w:val="1"/><w:bCs w:val="1"/></w:rPr><w:t xml:space="preserve">c) Regulatory Alignment</w:t></w:r><w:r><w:rPr><w:color w:val="333333"/><w:sz w:val="22"/><w:szCs w:val="22"/></w:rPr><w:t xml:space="preserve">c) Regulatory Alignment</w:t></w:r></w:p><w:p><w:pPr><w:pStyle w:val="Normal"/></w:pPr><w:r><w:rPr><w:color w:val="333333"/><w:sz w:val="22"/><w:szCs w:val="22"/></w:rPr><w:t xml:space="preserve">Position E-Board as a tool that helps institutions comply with:</w:t></w:r></w:p><w:p><w:pPr><w:pStyle w:val="ListBullet"/><w:numPr><w:ilvl w:val="0"/><w:numId w:val="8"/></w:numPr></w:pPr><w:r><w:rPr><w:color w:val="2C3E50"/><w:sz w:val="22"/><w:szCs w:val="22"/><w:b w:val="1"/><w:bCs w:val="1"/></w:rPr><w:t xml:space="preserve">Mwongozo: The Code of Governance for State Corporations</w:t></w:r><w:r><w:rPr><w:color w:val="333333"/><w:sz w:val="22"/><w:szCs w:val="22"/></w:rPr><w:t xml:space="preserve">Mwongozo: The Code of Governance for State Corporations</w:t></w:r><w:r><w:rPr><w:color w:val="333333"/><w:sz w:val="22"/><w:szCs w:val="22"/></w:rPr><w:t xml:space="preserve"> — E-Board supports meeting procedures, conflict of interest declarations, documentation, and audit trails that Mwongozo requires.</w:t></w:r></w:p><w:p><w:pPr><w:pStyle w:val="ListBullet"/><w:numPr><w:ilvl w:val="0"/><w:numId w:val="8"/></w:numPr></w:pPr><w:r><w:rPr><w:color w:val="2C3E50"/><w:sz w:val="22"/><w:szCs w:val="22"/><w:b w:val="1"/><w:bCs w:val="1"/></w:rPr><w:t xml:space="preserve">Public Finance Management Act (PFMA)</w:t></w:r><w:r><w:rPr><w:color w:val="333333"/><w:sz w:val="22"/><w:szCs w:val="22"/></w:rPr><w:t xml:space="preserve">Public Finance Management Act (PFMA)</w:t></w:r><w:r><w:rPr><w:color w:val="333333"/><w:sz w:val="22"/><w:szCs w:val="22"/></w:rPr><w:t xml:space="preserve"> — financial year management, audit readiness.</w:t></w:r></w:p><w:p><w:pPr><w:pStyle w:val="ListBullet"/><w:numPr><w:ilvl w:val="0"/><w:numId w:val="8"/></w:numPr></w:pPr><w:r><w:rPr><w:color w:val="2C3E50"/><w:sz w:val="22"/><w:szCs w:val="22"/><w:b w:val="1"/><w:bCs w:val="1"/></w:rPr><w:t xml:space="preserve">State Corporations Act</w:t></w:r><w:r><w:rPr><w:color w:val="333333"/><w:sz w:val="22"/><w:szCs w:val="22"/></w:rPr><w:t xml:space="preserve">State Corporations Act</w:t></w:r><w:r><w:rPr><w:color w:val="333333"/><w:sz w:val="22"/><w:szCs w:val="22"/></w:rPr><w:t xml:space="preserve"> — board constitution, meeting quorum, notice requirements.</w:t></w:r></w:p><w:p><w:pPr><w:pStyle w:val="Normal"/></w:pPr><w:r><w:rPr><w:color w:val="333333"/><w:sz w:val="22"/><w:szCs w:val="22"/></w:rPr><w:t xml:space="preserve">Prepare a </w:t></w:r><w:r><w:rPr><w:color w:val="2C3E50"/><w:sz w:val="22"/><w:szCs w:val="22"/><w:b w:val="1"/><w:bCs w:val="1"/></w:rPr><w:t xml:space="preserve">Mwongozo Compliance Matrix</w:t></w:r><w:r><w:rPr><w:color w:val="333333"/><w:sz w:val="22"/><w:szCs w:val="22"/></w:rPr><w:t xml:space="preserve">Mwongozo Compliance Matrix</w:t></w:r><w:r><w:rPr><w:color w:val="333333"/><w:sz w:val="22"/><w:szCs w:val="22"/></w:rPr><w:t xml:space="preserve"> showing how each E-Board feature maps to specific Mwongozo requirements.</w:t></w:r></w:p><w:p><w:pPr><w:pStyle w:val="Normal"/></w:pPr><w:r><w:rPr><w:color w:val="333333"/><w:sz w:val="22"/><w:szCs w:val="22"/></w:rPr><w:t xml:space="preserve">[REQUIRES LOSVINCA INPUT — commission detailed Mwongozo mapping]</w:t></w:r></w:p><w:p><w:pPr><w:pStyle w:val="Heading3"/></w:pPr><w:bookmarkStart w:id="10" w:name="_Toc10"/><w:r><w:t>15.3.3 Interest: Engaging the Right People</w:t></w:r><w:bookmarkEnd w:id="10"/></w:p><w:p><w:pPr><w:pStyle w:val="Normal"/></w:pPr><w:r><w:rPr><w:color w:val="2C3E50"/><w:sz w:val="22"/><w:szCs w:val="22"/><w:b w:val="1"/><w:bCs w:val="1"/></w:rPr><w:t xml:space="preserve">a) Targeting Corporation Secretaries</w:t></w:r><w:r><w:rPr><w:color w:val="333333"/><w:sz w:val="22"/><w:szCs w:val="22"/></w:rPr><w:t xml:space="preserve">a) Targeting Corporation Secretaries</w:t></w:r></w:p><w:p><w:pPr><w:pStyle w:val="Normal"/></w:pPr><w:r><w:rPr><w:color w:val="333333"/><w:sz w:val="22"/><w:szCs w:val="22"/></w:rPr><w:t xml:space="preserve">The Corporation Secretary is your primary entry point. They are:</w:t></w:r></w:p><w:p><w:pPr><w:pStyle w:val="ListBullet"/><w:numPr><w:ilvl w:val="0"/><w:numId w:val="8"/></w:numPr></w:pPr><w:r><w:rPr><w:color w:val="333333"/><w:sz w:val="22"/><w:szCs w:val="22"/></w:rPr><w:t xml:space="preserve">Responsible for board administration (E-Board's core function)</w:t></w:r></w:p><w:p><w:pPr><w:pStyle w:val="ListBullet"/><w:numPr><w:ilvl w:val="0"/><w:numId w:val="8"/></w:numPr></w:pPr><w:r><w:rPr><w:color w:val="333333"/><w:sz w:val="22"/><w:szCs w:val="22"/></w:rPr><w:t xml:space="preserve">Accountable for governance compliance</w:t></w:r></w:p><w:p><w:pPr><w:pStyle w:val="ListBullet"/><w:numPr><w:ilvl w:val="0"/><w:numId w:val="8"/></w:numPr></w:pPr><w:r><w:rPr><w:color w:val="333333"/><w:sz w:val="22"/><w:szCs w:val="22"/></w:rPr><w:t xml:space="preserve">Frustrated by manual processes (printing, courier, document management)</w:t></w:r></w:p><w:p><w:pPr><w:pStyle w:val="ListBullet"/><w:numPr><w:ilvl w:val="0"/><w:numId w:val="8"/></w:numPr></w:pPr><w:r><w:rPr><w:color w:val="333333"/><w:sz w:val="22"/><w:szCs w:val="22"/></w:rPr><w:t xml:space="preserve">Professional peers who share best practices through ICPSK</w:t></w:r></w:p><w:p><w:pPr><w:pStyle w:val="Normal"/></w:pPr><w:r><w:rPr><w:color w:val="2C3E50"/><w:sz w:val="22"/><w:szCs w:val="22"/><w:b w:val="1"/><w:bCs w:val="1"/></w:rPr><w:t xml:space="preserve">Approach strategy:</w:t></w:r><w:r><w:rPr><w:color w:val="333333"/><w:sz w:val="22"/><w:szCs w:val="22"/></w:rPr><w:t xml:space="preserve">Approach strategy:</w:t></w:r></w:p><w:p><w:pPr><w:pStyle w:val="ListBullet"/><w:numPr><w:ilvl w:val="0"/><w:numId w:val="9"/></w:numPr></w:pPr><w:r><w:rPr><w:color w:val="2C3E50"/><w:sz w:val="22"/><w:szCs w:val="22"/><w:b w:val="1"/><w:bCs w:val="1"/></w:rPr><w:t xml:space="preserve">Identify the Corporation Secretary</w:t></w:r><w:r><w:rPr><w:color w:val="333333"/><w:sz w:val="22"/><w:szCs w:val="22"/></w:rPr><w:t xml:space="preserve">Identify the Corporation Secretary</w:t></w:r><w:r><w:rPr><w:color w:val="333333"/><w:sz w:val="22"/><w:szCs w:val="22"/></w:rPr><w:t xml:space="preserve"> by name. Sources: institution website, Kenya Gazette appointments, ICPSK member directory, LinkedIn.</w:t></w:r></w:p><w:p><w:pPr><w:pStyle w:val="ListBullet"/><w:numPr><w:ilvl w:val="0"/><w:numId w:val="9"/></w:numPr></w:pPr><w:r><w:rPr><w:color w:val="2C3E50"/><w:sz w:val="22"/><w:szCs w:val="22"/><w:b w:val="1"/><w:bCs w:val="1"/></w:rPr><w:t xml:space="preserve">Connect on LinkedIn</w:t></w:r><w:r><w:rPr><w:color w:val="333333"/><w:sz w:val="22"/><w:szCs w:val="22"/></w:rPr><w:t xml:space="preserve">Connect on LinkedIn</w:t></w:r><w:r><w:rPr><w:color w:val="333333"/><w:sz w:val="22"/><w:szCs w:val="22"/></w:rPr><w:t xml:space="preserve"> with a personalised message referencing their institution and a governance challenge (see Part 16, Template A).</w:t></w:r></w:p><w:p><w:pPr><w:pStyle w:val="ListBullet"/><w:numPr><w:ilvl w:val="0"/><w:numId w:val="9"/></w:numPr></w:pPr><w:r><w:rPr><w:color w:val="2C3E50"/><w:sz w:val="22"/><w:szCs w:val="22"/><w:b w:val="1"/><w:bCs w:val="1"/></w:rPr><w:t xml:space="preserve">Share relevant content</w:t></w:r><w:r><w:rPr><w:color w:val="333333"/><w:sz w:val="22"/><w:szCs w:val="22"/></w:rPr><w:t xml:space="preserve">Share relevant content</w:t></w:r><w:r><w:rPr><w:color w:val="333333"/><w:sz w:val="22"/><w:szCs w:val="22"/></w:rPr><w:t xml:space="preserve"> — an article, a case study, a Mwongozo compliance tip.</w:t></w:r></w:p><w:p><w:pPr><w:pStyle w:val="ListBullet"/><w:numPr><w:ilvl w:val="0"/><w:numId w:val="9"/></w:numPr></w:pPr><w:r><w:rPr><w:color w:val="2C3E50"/><w:sz w:val="22"/><w:szCs w:val="22"/><w:b w:val="1"/><w:bCs w:val="1"/></w:rPr><w:t xml:space="preserve">Request a 20-minute conversation</w:t></w:r><w:r><w:rPr><w:color w:val="333333"/><w:sz w:val="22"/><w:szCs w:val="22"/></w:rPr><w:t xml:space="preserve">Request a 20-minute conversation</w:t></w:r><w:r><w:rPr><w:color w:val="333333"/><w:sz w:val="22"/><w:szCs w:val="22"/></w:rPr><w:t xml:space="preserve"> — not a demo, a conversation about their governance challenges.</w:t></w:r></w:p><w:p><w:pPr><w:pStyle w:val="ListBullet"/><w:numPr><w:ilvl w:val="0"/><w:numId w:val="9"/></w:numPr></w:pPr><w:r><w:rPr><w:color w:val="2C3E50"/><w:sz w:val="22"/><w:szCs w:val="22"/><w:b w:val="1"/><w:bCs w:val="1"/></w:rPr><w:t xml:space="preserve">In the conversation:</w:t></w:r><w:r><w:rPr><w:color w:val="333333"/><w:sz w:val="22"/><w:szCs w:val="22"/></w:rPr><w:t xml:space="preserve">In the conversation:</w:t></w:r><w:r><w:rPr><w:color w:val="333333"/><w:sz w:val="22"/><w:szCs w:val="22"/></w:rPr><w:t xml:space="preserve"> listen more than you talk. Identify their specific pain points. Then explain how E-Board addresses those exact pain points.</w:t></w:r></w:p><w:p><w:pPr><w:pStyle w:val="Normal"/></w:pPr><w:r><w:rPr><w:color w:val="2C3E50"/><w:sz w:val="22"/><w:szCs w:val="22"/><w:b w:val="1"/><w:bCs w:val="1"/></w:rPr><w:t xml:space="preserve">b) Engaging the CEO</w:t></w:r><w:r><w:rPr><w:color w:val="333333"/><w:sz w:val="22"/><w:szCs w:val="22"/></w:rPr><w:t xml:space="preserve">b) Engaging the CEO</w:t></w:r></w:p><w:p><w:pPr><w:pStyle w:val="Normal"/></w:pPr><w:r><w:rPr><w:color w:val="333333"/><w:sz w:val="22"/><w:szCs w:val="22"/></w:rPr><w:t xml:space="preserve">CEOs in government institutions care about:</w:t></w:r></w:p><w:p><w:pPr><w:pStyle w:val="ListBullet"/><w:numPr><w:ilvl w:val="0"/><w:numId w:val="8"/></w:numPr></w:pPr><w:r><w:rPr><w:color w:val="333333"/><w:sz w:val="22"/><w:szCs w:val="22"/></w:rPr><w:t xml:space="preserve">Institutional reputation and compliance</w:t></w:r></w:p><w:p><w:pPr><w:pStyle w:val="ListBullet"/><w:numPr><w:ilvl w:val="0"/><w:numId w:val="8"/></w:numPr></w:pPr><w:r><w:rPr><w:color w:val="333333"/><w:sz w:val="22"/><w:szCs w:val="22"/></w:rPr><w:t xml:space="preserve">Efficiency and cost reduction</w:t></w:r></w:p><w:p><w:pPr><w:pStyle w:val="ListBullet"/><w:numPr><w:ilvl w:val="0"/><w:numId w:val="8"/></w:numPr></w:pPr><w:r><w:rPr><w:color w:val="333333"/><w:sz w:val="22"/><w:szCs w:val="22"/></w:rPr><w:t xml:space="preserve">Audit findings and governance risk</w:t></w:r></w:p><w:p><w:pPr><w:pStyle w:val="Normal"/></w:pPr><w:r><w:rPr><w:color w:val="333333"/><w:sz w:val="22"/><w:szCs w:val="22"/></w:rPr><w:t xml:space="preserve">The CEO is unlikely to respond to a cold outreach about "board management software." Instead:</w:t></w:r></w:p><w:p><w:pPr><w:pStyle w:val="ListBullet"/><w:numPr><w:ilvl w:val="0"/><w:numId w:val="8"/></w:numPr></w:pPr><w:r><w:rPr><w:color w:val="333333"/><w:sz w:val="22"/><w:szCs w:val="22"/></w:rPr><w:t xml:space="preserve">Reach the CEO through the Corporation Secretary's recommendation.</w:t></w:r></w:p><w:p><w:pPr><w:pStyle w:val="ListBullet"/><w:numPr><w:ilvl w:val="0"/><w:numId w:val="8"/></w:numPr></w:pPr><w:r><w:rPr><w:color w:val="333333"/><w:sz w:val="22"/><w:szCs w:val="22"/></w:rPr><w:t xml:space="preserve">Or approach the CEO with a governance risk message: "How prepared is your institution for an audit of board governance compliance?"</w:t></w:r></w:p><w:p><w:pPr><w:pStyle w:val="ListBullet"/><w:numPr><w:ilvl w:val="0"/><w:numId w:val="8"/></w:numPr></w:pPr><w:r><w:rPr><w:color w:val="333333"/><w:sz w:val="22"/><w:szCs w:val="22"/></w:rPr><w:t xml:space="preserve">Frame E-Board as a strategic initiative, not a software purchase.</w:t></w:r></w:p><w:p><w:pPr><w:pStyle w:val="Normal"/></w:pPr><w:r><w:rPr><w:color w:val="2C3E50"/><w:sz w:val="22"/><w:szCs w:val="22"/><w:b w:val="1"/><w:bCs w:val="1"/></w:rPr><w:t xml:space="preserve">c) Engaging the ICT Department</w:t></w:r><w:r><w:rPr><w:color w:val="333333"/><w:sz w:val="22"/><w:szCs w:val="22"/></w:rPr><w:t xml:space="preserve">c) Engaging the ICT Department</w:t></w:r></w:p><w:p><w:pPr><w:pStyle w:val="Normal"/></w:pPr><w:r><w:rPr><w:color w:val="333333"/><w:sz w:val="22"/><w:szCs w:val="22"/></w:rPr><w:t xml:space="preserve">ICT managers are gatekeepers. They can block a purchase if they have concerns. Engage them early to:</w:t></w:r></w:p><w:p><w:pPr><w:pStyle w:val="ListBullet"/><w:numPr><w:ilvl w:val="0"/><w:numId w:val="8"/></w:numPr></w:pPr><w:r><w:rPr><w:color w:val="333333"/><w:sz w:val="22"/><w:szCs w:val="22"/></w:rPr><w:t xml:space="preserve">Address hosting and security questions</w:t></w:r></w:p><w:p><w:pPr><w:pStyle w:val="ListBullet"/><w:numPr><w:ilvl w:val="0"/><w:numId w:val="8"/></w:numPr></w:pPr><w:r><w:rPr><w:color w:val="333333"/><w:sz w:val="22"/><w:szCs w:val="22"/></w:rPr><w:t xml:space="preserve">Demonstrate technical credibility (Laravel, PHP 8+, MySQL — well-understood stack)</w:t></w:r></w:p><w:p><w:pPr><w:pStyle w:val="ListBullet"/><w:numPr><w:ilvl w:val="0"/><w:numId w:val="8"/></w:numPr></w:pPr><w:r><w:rPr><w:color w:val="333333"/><w:sz w:val="22"/><w:szCs w:val="22"/></w:rPr><w:t xml:space="preserve">Show that E-Board reduces ICT burden (Losvinca handles hosting, updates, support)</w:t></w:r></w:p><w:p><w:pPr><w:pStyle w:val="ListBullet"/><w:numPr><w:ilvl w:val="0"/><w:numId w:val="8"/></w:numPr></w:pPr><w:r><w:rPr><w:color w:val="333333"/><w:sz w:val="22"/><w:szCs w:val="22"/></w:rPr><w:t xml:space="preserve">Position E-Board as a specialised solution that complements (not replaces) existing ICT infrastructure</w:t></w:r></w:p><w:p><w:pPr><w:pStyle w:val="Normal"/></w:pPr><w:r><w:rPr><w:color w:val="2C3E50"/><w:sz w:val="22"/><w:szCs w:val="22"/><w:b w:val="1"/><w:bCs w:val="1"/></w:rPr><w:t xml:space="preserve">d) Engaging Internal Audit</w:t></w:r><w:r><w:rPr><w:color w:val="333333"/><w:sz w:val="22"/><w:szCs w:val="22"/></w:rPr><w:t xml:space="preserve">d) Engaging Internal Audit</w:t></w:r></w:p><w:p><w:pPr><w:pStyle w:val="Normal"/></w:pPr><w:r><w:rPr><w:color w:val="333333"/><w:sz w:val="22"/><w:szCs w:val="22"/></w:rPr><w:t xml:space="preserve">Internal auditors are natural allies because:</w:t></w:r></w:p><w:p><w:pPr><w:pStyle w:val="ListBullet"/><w:numPr><w:ilvl w:val="0"/><w:numId w:val="8"/></w:numPr></w:pPr><w:r><w:rPr><w:color w:val="333333"/><w:sz w:val="22"/><w:szCs w:val="22"/></w:rPr><w:t xml:space="preserve">E-Board's comprehensive audit trail (old/new values, IP logging, user agent tracking) directly supports their work</w:t></w:r></w:p><w:p><w:pPr><w:pStyle w:val="ListBullet"/><w:numPr><w:ilvl w:val="0"/><w:numId w:val="8"/></w:numPr></w:pPr><w:r><w:rPr><w:color w:val="333333"/><w:sz w:val="22"/><w:szCs w:val="22"/></w:rPr><w:t xml:space="preserve">Digital conflict of interest declarations with OTP verification strengthen audit evidence</w:t></w:r></w:p><w:p><w:pPr><w:pStyle w:val="ListBullet"/><w:numPr><w:ilvl w:val="0"/><w:numId w:val="8"/></w:numPr></w:pPr><w:r><w:rPr><w:color w:val="333333"/><w:sz w:val="22"/><w:szCs w:val="22"/></w:rPr><w:t xml:space="preserve">PDF export of audit trails provides ready-made audit documentation</w:t></w:r></w:p><w:p><w:pPr><w:pStyle w:val="Heading3"/></w:pPr><w:bookmarkStart w:id="11" w:name="_Toc11"/><w:r><w:t>15.3.4 Evaluation: Demonstrations and Assessments</w:t></w:r><w:bookmarkEnd w:id="11"/></w:p><w:p><w:pPr><w:pStyle w:val="Normal"/></w:pPr><w:r><w:rPr><w:color w:val="2C3E50"/><w:sz w:val="22"/><w:szCs w:val="22"/><w:b w:val="1"/><w:bCs w:val="1"/></w:rPr><w:t xml:space="preserve">a) The Demonstration</w:t></w:r><w:r><w:rPr><w:color w:val="333333"/><w:sz w:val="22"/><w:szCs w:val="22"/></w:rPr><w:t xml:space="preserve">a) The Demonstration</w:t></w:r></w:p><w:p><w:pPr><w:pStyle w:val="Normal"/></w:pPr><w:r><w:rPr><w:color w:val="333333"/><w:sz w:val="22"/><w:szCs w:val="22"/></w:rPr><w:t xml:space="preserve">A well-run demonstration converts interest into internal advocacy. Structure it as follows:</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Segment</w:t></w:r></w:p></w:tc><w:tc><w:tcPr><w:vAlign w:val="top"/><w:shd w:val="clear" w:fill="1B4F72"/></w:tcPr><w:p><w:pPr><w:spacing w:after="20"/></w:pPr><w:r><w:rPr><w:color w:val="FFFFFF"/><w:sz w:val="18"/><w:szCs w:val="18"/><w:b w:val="1"/><w:bCs w:val="1"/></w:rPr><w:t xml:space="preserve">Duration</w:t></w:r></w:p></w:tc><w:tc><w:tcPr><w:vAlign w:val="top"/><w:shd w:val="clear" w:fill="1B4F72"/></w:tcPr><w:p><w:pPr><w:spacing w:after="20"/></w:pPr><w:r><w:rPr><w:color w:val="FFFFFF"/><w:sz w:val="18"/><w:szCs w:val="18"/><w:b w:val="1"/><w:bCs w:val="1"/></w:rPr><w:t xml:space="preserve">Content</w:t></w:r></w:p></w:tc></w:tr><w:tr><w:trPr/><w:tc><w:tcPr><w:vAlign w:val="top"/></w:tcPr><w:p><w:pPr><w:spacing w:after="20"/></w:pPr><w:r><w:rPr><w:color w:val="333333"/><w:sz w:val="18"/><w:szCs w:val="18"/></w:rPr><w:t xml:space="preserve">**Context setting**</w:t></w:r></w:p></w:tc><w:tc><w:tcPr><w:vAlign w:val="top"/></w:tcPr><w:p><w:pPr><w:spacing w:after="20"/></w:pPr><w:r><w:rPr><w:color w:val="333333"/><w:sz w:val="18"/><w:szCs w:val="18"/></w:rPr><w:t xml:space="preserve">5 minutes</w:t></w:r></w:p></w:tc><w:tc><w:tcPr><w:vAlign w:val="top"/></w:tcPr><w:p><w:pPr><w:spacing w:after="20"/></w:pPr><w:r><w:rPr><w:color w:val="333333"/><w:sz w:val="18"/><w:szCs w:val="18"/></w:rPr><w:t xml:space="preserve">Governance challenges in their specific sector, regulatory requirements</w:t></w:r></w:p></w:tc></w:tr><w:tr><w:trPr/><w:tc><w:tcPr><w:vAlign w:val="top"/><w:shd w:val="clear" w:fill="F8F9FA"/></w:tcPr><w:p><w:pPr><w:spacing w:after="20"/></w:pPr><w:r><w:rPr><w:color w:val="333333"/><w:sz w:val="18"/><w:szCs w:val="18"/></w:rPr><w:t xml:space="preserve">**Platform overview**</w:t></w:r></w:p></w:tc><w:tc><w:tcPr><w:vAlign w:val="top"/><w:shd w:val="clear" w:fill="F8F9FA"/></w:tcPr><w:p><w:pPr><w:spacing w:after="20"/></w:pPr><w:r><w:rPr><w:color w:val="333333"/><w:sz w:val="18"/><w:szCs w:val="18"/></w:rPr><w:t xml:space="preserve">5 minutes</w:t></w:r></w:p></w:tc><w:tc><w:tcPr><w:vAlign w:val="top"/><w:shd w:val="clear" w:fill="F8F9FA"/></w:tcPr><w:p><w:pPr><w:spacing w:after="20"/></w:pPr><w:r><w:rPr><w:color w:val="333333"/><w:sz w:val="18"/><w:szCs w:val="18"/></w:rPr><w:t xml:space="preserve">White-label branding, institution setup, role structure</w:t></w:r></w:p></w:tc></w:tr><w:tr><w:trPr/><w:tc><w:tcPr><w:vAlign w:val="top"/></w:tcPr><w:p><w:pPr><w:spacing w:after="20"/></w:pPr><w:r><w:rPr><w:color w:val="333333"/><w:sz w:val="18"/><w:szCs w:val="18"/></w:rPr><w:t xml:space="preserve">**Core workflow walkthrough**</w:t></w:r></w:p></w:tc><w:tc><w:tcPr><w:vAlign w:val="top"/></w:tcPr><w:p><w:pPr><w:spacing w:after="20"/></w:pPr><w:r><w:rPr><w:color w:val="333333"/><w:sz w:val="18"/><w:szCs w:val="18"/></w:rPr><w:t xml:space="preserve">20 minutes</w:t></w:r></w:p></w:tc><w:tc><w:tcPr><w:vAlign w:val="top"/></w:tcPr><w:p><w:pPr><w:spacing w:after="20"/></w:pPr><w:r><w:rPr><w:color w:val="333333"/><w:sz w:val="18"/><w:szCs w:val="18"/></w:rPr><w:t xml:space="preserve">Walk through all 10 meeting stages using realistic data for their institution type</w:t></w:r></w:p></w:tc></w:tr><w:tr><w:trPr/><w:tc><w:tcPr><w:vAlign w:val="top"/><w:shd w:val="clear" w:fill="F8F9FA"/></w:tcPr><w:p><w:pPr><w:spacing w:after="20"/></w:pPr><w:r><w:rPr><w:color w:val="333333"/><w:sz w:val="18"/><w:szCs w:val="18"/></w:rPr><w:t xml:space="preserve">**Board member experience**</w:t></w:r></w:p></w:tc><w:tc><w:tcPr><w:vAlign w:val="top"/><w:shd w:val="clear" w:fill="F8F9FA"/></w:tcPr><w:p><w:pPr><w:spacing w:after="20"/></w:pPr><w:r><w:rPr><w:color w:val="333333"/><w:sz w:val="18"/><w:szCs w:val="18"/></w:rPr><w:t xml:space="preserve">5 minutes</w:t></w:r></w:p></w:tc><w:tc><w:tcPr><w:vAlign w:val="top"/><w:shd w:val="clear" w:fill="F8F9FA"/></w:tcPr><w:p><w:pPr><w:spacing w:after="20"/></w:pPr><w:r><w:rPr><w:color w:val="333333"/><w:sz w:val="18"/><w:szCs w:val="18"/></w:rPr><w:t xml:space="preserve">iPad portal, document access, conflict of interest declaration with OTP</w:t></w:r></w:p></w:tc></w:tr><w:tr><w:trPr/><w:tc><w:tcPr><w:vAlign w:val="top"/></w:tcPr><w:p><w:pPr><w:spacing w:after="20"/></w:pPr><w:r><w:rPr><w:color w:val="333333"/><w:sz w:val="18"/><w:szCs w:val="18"/></w:rPr><w:t xml:space="preserve">**Audit and compliance**</w:t></w:r></w:p></w:tc><w:tc><w:tcPr><w:vAlign w:val="top"/></w:tcPr><w:p><w:pPr><w:spacing w:after="20"/></w:pPr><w:r><w:rPr><w:color w:val="333333"/><w:sz w:val="18"/><w:szCs w:val="18"/></w:rPr><w:t xml:space="preserve">5 minutes</w:t></w:r></w:p></w:tc><w:tc><w:tcPr><w:vAlign w:val="top"/></w:tcPr><w:p><w:pPr><w:spacing w:after="20"/></w:pPr><w:r><w:rPr><w:color w:val="333333"/><w:sz w:val="18"/><w:szCs w:val="18"/></w:rPr><w:t xml:space="preserve">Audit trail, conflict of interest register, document repository</w:t></w:r></w:p></w:tc></w:tr><w:tr><w:trPr/><w:tc><w:tcPr><w:vAlign w:val="top"/><w:shd w:val="clear" w:fill="F8F9FA"/></w:tcPr><w:p><w:pPr><w:spacing w:after="20"/></w:pPr><w:r><w:rPr><w:color w:val="333333"/><w:sz w:val="18"/><w:szCs w:val="18"/></w:rPr><w:t xml:space="preserve">**Q&A**</w:t></w:r></w:p></w:tc><w:tc><w:tcPr><w:vAlign w:val="top"/><w:shd w:val="clear" w:fill="F8F9FA"/></w:tcPr><w:p><w:pPr><w:spacing w:after="20"/></w:pPr><w:r><w:rPr><w:color w:val="333333"/><w:sz w:val="18"/><w:szCs w:val="18"/></w:rPr><w:t xml:space="preserve">15 minutes</w:t></w:r></w:p></w:tc><w:tc><w:tcPr><w:vAlign w:val="top"/><w:shd w:val="clear" w:fill="F8F9FA"/></w:tcPr><w:p><w:pPr><w:spacing w:after="20"/></w:pPr><w:r><w:rPr><w:color w:val="333333"/><w:sz w:val="18"/><w:szCs w:val="18"/></w:rPr><w:t xml:space="preserve">Open discussion</w:t></w:r></w:p></w:tc></w:tr><w:tr><w:trPr/><w:tc><w:tcPr><w:vAlign w:val="top"/></w:tcPr><w:p><w:pPr><w:spacing w:after="20"/></w:pPr><w:r><w:rPr><w:color w:val="333333"/><w:sz w:val="18"/><w:szCs w:val="18"/></w:rPr><w:t xml:space="preserve">**Next steps**</w:t></w:r></w:p></w:tc><w:tc><w:tcPr><w:vAlign w:val="top"/></w:tcPr><w:p><w:pPr><w:spacing w:after="20"/></w:pPr><w:r><w:rPr><w:color w:val="333333"/><w:sz w:val="18"/><w:szCs w:val="18"/></w:rPr><w:t xml:space="preserve">5 minutes</w:t></w:r></w:p></w:tc><w:tc><w:tcPr><w:vAlign w:val="top"/></w:tcPr><w:p><w:pPr><w:spacing w:after="20"/></w:pPr><w:r><w:rPr><w:color w:val="333333"/><w:sz w:val="18"/><w:szCs w:val="18"/></w:rPr><w:t xml:space="preserve">Pilot proposal, procurement guidance</w:t></w:r></w:p></w:tc></w:tr></w:tbl><w:p><w:pPr><w:pStyle w:val="Normal"/></w:pPr><w:r><w:rPr><w:color w:val="2C3E50"/><w:sz w:val="22"/><w:szCs w:val="22"/><w:b w:val="1"/><w:bCs w:val="1"/></w:rPr><w:t xml:space="preserve">Demonstration rules:</w:t></w:r><w:r><w:rPr><w:color w:val="333333"/><w:sz w:val="22"/><w:szCs w:val="22"/></w:rPr><w:t xml:space="preserve">Demonstration rules:</w:t></w:r></w:p><w:p><w:pPr><w:pStyle w:val="ListBullet"/><w:numPr><w:ilvl w:val="0"/><w:numId w:val="9"/></w:numPr></w:pPr><w:r><w:rPr><w:color w:val="2C3E50"/><w:sz w:val="22"/><w:szCs w:val="22"/><w:b w:val="1"/><w:bCs w:val="1"/></w:rPr><w:t xml:space="preserve">Always use a demo instance branded for the specific institution</w:t></w:r><w:r><w:rPr><w:color w:val="333333"/><w:sz w:val="22"/><w:szCs w:val="22"/></w:rPr><w:t xml:space="preserve">Always use a demo instance branded for the specific institution</w:t></w:r><w:r><w:rPr><w:color w:val="333333"/><w:sz w:val="22"/><w:szCs w:val="22"/></w:rPr><w:t xml:space="preserve"> (or at minimum, for their sector). Never demonstrate with generic "Demo Company" branding.</w:t></w:r></w:p><w:p><w:pPr><w:pStyle w:val="ListBullet"/><w:numPr><w:ilvl w:val="0"/><w:numId w:val="9"/></w:numPr></w:pPr><w:r><w:rPr><w:color w:val="2C3E50"/><w:sz w:val="22"/><w:szCs w:val="22"/><w:b w:val="1"/><w:bCs w:val="1"/></w:rPr><w:t xml:space="preserve">Use realistic data.</w:t></w:r><w:r><w:rPr><w:color w:val="333333"/><w:sz w:val="22"/><w:szCs w:val="22"/></w:rPr><w:t xml:space="preserve">Use realistic data.</w:t></w:r><w:r><w:rPr><w:color w:val="333333"/><w:sz w:val="22"/><w:szCs w:val="22"/></w:rPr><w:t xml:space="preserve"> Create sample board members with realistic Kenyan names and titles. Create sample meeting agendas relevant to their sector (water company, university, regulatory authority, etc.).</w:t></w:r></w:p><w:p><w:pPr><w:pStyle w:val="ListBullet"/><w:numPr><w:ilvl w:val="0"/><w:numId w:val="9"/></w:numPr></w:pPr><w:r><w:rPr><w:color w:val="2C3E50"/><w:sz w:val="22"/><w:szCs w:val="22"/><w:b w:val="1"/><w:bCs w:val="1"/></w:rPr><w:t xml:space="preserve">Show the full workflow.</w:t></w:r><w:r><w:rPr><w:color w:val="333333"/><w:sz w:val="22"/><w:szCs w:val="22"/></w:rPr><w:t xml:space="preserve">Show the full workflow.</w:t></w:r><w:r><w:rPr><w:color w:val="333333"/><w:sz w:val="22"/><w:szCs w:val="22"/></w:rPr><w:t xml:space="preserve"> Walk through at least one complete cycle: meeting initiation through to minutes capture.</w:t></w:r></w:p><w:p><w:pPr><w:pStyle w:val="ListBullet"/><w:numPr><w:ilvl w:val="0"/><w:numId w:val="9"/></w:numPr></w:pPr><w:r><w:rPr><w:color w:val="2C3E50"/><w:sz w:val="22"/><w:szCs w:val="22"/><w:b w:val="1"/><w:bCs w:val="1"/></w:rPr><w:t xml:space="preserve">Demonstrate the conflict of interest process.</w:t></w:r><w:r><w:rPr><w:color w:val="333333"/><w:sz w:val="22"/><w:szCs w:val="22"/></w:rPr><w:t xml:space="preserve">Demonstrate the conflict of interest process.</w:t></w:r><w:r><w:rPr><w:color w:val="333333"/><w:sz w:val="22"/><w:szCs w:val="22"/></w:rPr><w:t xml:space="preserve"> The OTP-verified digital signature for conflict declarations is often the feature that most impresses governance professionals.</w:t></w:r></w:p><w:p><w:pPr><w:pStyle w:val="ListBullet"/><w:numPr><w:ilvl w:val="0"/><w:numId w:val="9"/></w:numPr></w:pPr><w:r><w:rPr><w:color w:val="2C3E50"/><w:sz w:val="22"/><w:szCs w:val="22"/><w:b w:val="1"/><w:bCs w:val="1"/></w:rPr><w:t xml:space="preserve">Show the audit trail.</w:t></w:r><w:r><w:rPr><w:color w:val="333333"/><w:sz w:val="22"/><w:szCs w:val="22"/></w:rPr><w:t xml:space="preserve">Show the audit trail.</w:t></w:r><w:r><w:rPr><w:color w:val="333333"/><w:sz w:val="22"/><w:szCs w:val="22"/></w:rPr><w:t xml:space="preserve"> Open the audit log and show how every action is recorded with old and new values.</w:t></w:r></w:p><w:p><w:pPr><w:pStyle w:val="ListBullet"/><w:numPr><w:ilvl w:val="0"/><w:numId w:val="9"/></w:numPr></w:pPr><w:r><w:rPr><w:color w:val="2C3E50"/><w:sz w:val="22"/><w:szCs w:val="22"/><w:b w:val="1"/><w:bCs w:val="1"/></w:rPr><w:t xml:space="preserve">Invite the Corporation Secretary to click.</w:t></w:r><w:r><w:rPr><w:color w:val="333333"/><w:sz w:val="22"/><w:szCs w:val="22"/></w:rPr><w:t xml:space="preserve">Invite the Corporation Secretary to click.</w:t></w:r><w:r><w:rPr><w:color w:val="333333"/><w:sz w:val="22"/><w:szCs w:val="22"/></w:rPr><w:t xml:space="preserve"> Passive viewing is less persuasive than hands-on interaction.</w:t></w:r></w:p><w:p><w:pPr><w:pStyle w:val="Normal"/></w:pPr><w:r><w:rPr><w:color w:val="2C3E50"/><w:sz w:val="22"/><w:szCs w:val="22"/><w:b w:val="1"/><w:bCs w:val="1"/></w:rPr><w:t xml:space="preserve">b) The Governance Health Check</w:t></w:r><w:r><w:rPr><w:color w:val="333333"/><w:sz w:val="22"/><w:szCs w:val="22"/></w:rPr><w:t xml:space="preserve">b) The Governance Health Check</w:t></w:r></w:p><w:p><w:pPr><w:pStyle w:val="Normal"/></w:pPr><w:r><w:rPr><w:color w:val="333333"/><w:sz w:val="22"/><w:szCs w:val="22"/></w:rPr><w:t xml:space="preserve">Before or after a demonstration, offer a brief "governance health check" — a consultative conversation that assesses the institution's current board management practices against best-practice benchmarks.</w:t></w:r></w:p><w:p><w:pPr><w:pStyle w:val="Normal"/></w:pPr><w:r><w:rPr><w:color w:val="2C3E50"/><w:sz w:val="22"/><w:szCs w:val="22"/><w:b w:val="1"/><w:bCs w:val="1"/></w:rPr><w:t xml:space="preserve">Assessment areas:</w:t></w:r><w:r><w:rPr><w:color w:val="333333"/><w:sz w:val="22"/><w:szCs w:val="22"/></w:rPr><w:t xml:space="preserve">Assessment areas:</w:t></w:r></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Area</w:t></w:r></w:p></w:tc><w:tc><w:tcPr><w:vAlign w:val="top"/><w:shd w:val="clear" w:fill="1B4F72"/></w:tcPr><w:p><w:pPr><w:spacing w:after="20"/></w:pPr><w:r><w:rPr><w:color w:val="FFFFFF"/><w:sz w:val="18"/><w:szCs w:val="18"/><w:b w:val="1"/><w:bCs w:val="1"/></w:rPr><w:t xml:space="preserve">Questions to Ask</w:t></w:r></w:p></w:tc></w:tr><w:tr><w:trPr/><w:tc><w:tcPr><w:vAlign w:val="top"/></w:tcPr><w:p><w:pPr><w:spacing w:after="20"/></w:pPr><w:r><w:rPr><w:color w:val="333333"/><w:sz w:val="18"/><w:szCs w:val="18"/></w:rPr><w:t xml:space="preserve">Meeting management</w:t></w:r></w:p></w:tc><w:tc><w:tcPr><w:vAlign w:val="top"/></w:tcPr><w:p><w:pPr><w:spacing w:after="20"/></w:pPr><w:r><w:rPr><w:color w:val="333333"/><w:sz w:val="18"/><w:szCs w:val="18"/></w:rPr><w:t xml:space="preserve">How do you currently prepare and distribute board papers? How far in advance?</w:t></w:r></w:p></w:tc></w:tr><w:tr><w:trPr/><w:tc><w:tcPr><w:vAlign w:val="top"/><w:shd w:val="clear" w:fill="F8F9FA"/></w:tcPr><w:p><w:pPr><w:spacing w:after="20"/></w:pPr><w:r><w:rPr><w:color w:val="333333"/><w:sz w:val="18"/><w:szCs w:val="18"/></w:rPr><w:t xml:space="preserve">Notice compliance</w:t></w:r></w:p></w:tc><w:tc><w:tcPr><w:vAlign w:val="top"/><w:shd w:val="clear" w:fill="F8F9FA"/></w:tcPr><w:p><w:pPr><w:spacing w:after="20"/></w:pPr><w:r><w:rPr><w:color w:val="333333"/><w:sz w:val="18"/><w:szCs w:val="18"/></w:rPr><w:t xml:space="preserve">Do you consistently achieve 10-day advance notice for board meetings? Can you prove it?</w:t></w:r></w:p></w:tc></w:tr><w:tr><w:trPr/><w:tc><w:tcPr><w:vAlign w:val="top"/></w:tcPr><w:p><w:pPr><w:spacing w:after="20"/></w:pPr><w:r><w:rPr><w:color w:val="333333"/><w:sz w:val="18"/><w:szCs w:val="18"/></w:rPr><w:t xml:space="preserve">Conflict of interest</w:t></w:r></w:p></w:tc><w:tc><w:tcPr><w:vAlign w:val="top"/></w:tcPr><w:p><w:pPr><w:spacing w:after="20"/></w:pPr><w:r><w:rPr><w:color w:val="333333"/><w:sz w:val="18"/><w:szCs w:val="18"/></w:rPr><w:t xml:space="preserve">How do board members declare conflicts? Is there a formal register? How is it maintained?</w:t></w:r></w:p></w:tc></w:tr><w:tr><w:trPr/><w:tc><w:tcPr><w:vAlign w:val="top"/><w:shd w:val="clear" w:fill="F8F9FA"/></w:tcPr><w:p><w:pPr><w:spacing w:after="20"/></w:pPr><w:r><w:rPr><w:color w:val="333333"/><w:sz w:val="18"/><w:szCs w:val="18"/></w:rPr><w:t xml:space="preserve">Document security</w:t></w:r></w:p></w:tc><w:tc><w:tcPr><w:vAlign w:val="top"/><w:shd w:val="clear" w:fill="F8F9FA"/></w:tcPr><w:p><w:pPr><w:spacing w:after="20"/></w:pPr><w:r><w:rPr><w:color w:val="333333"/><w:sz w:val="18"/><w:szCs w:val="18"/></w:rPr><w:t xml:space="preserve">Where are board papers stored? Who has access? Can you audit who has accessed what?</w:t></w:r></w:p></w:tc></w:tr><w:tr><w:trPr/><w:tc><w:tcPr><w:vAlign w:val="top"/></w:tcPr><w:p><w:pPr><w:spacing w:after="20"/></w:pPr><w:r><w:rPr><w:color w:val="333333"/><w:sz w:val="18"/><w:szCs w:val="18"/></w:rPr><w:t xml:space="preserve">Audit readiness</w:t></w:r></w:p></w:tc><w:tc><w:tcPr><w:vAlign w:val="top"/></w:tcPr><w:p><w:pPr><w:spacing w:after="20"/></w:pPr><w:r><w:rPr><w:color w:val="333333"/><w:sz w:val="18"/><w:szCs w:val="18"/></w:rPr><w:t xml:space="preserve">If an auditor asked for a complete record of board proceedings for the last 2 years, how long would it take to compile?</w:t></w:r></w:p></w:tc></w:tr><w:tr><w:trPr/><w:tc><w:tcPr><w:vAlign w:val="top"/><w:shd w:val="clear" w:fill="F8F9FA"/></w:tcPr><w:p><w:pPr><w:spacing w:after="20"/></w:pPr><w:r><w:rPr><w:color w:val="333333"/><w:sz w:val="18"/><w:szCs w:val="18"/></w:rPr><w:t xml:space="preserve">Business continuity</w:t></w:r></w:p></w:tc><w:tc><w:tcPr><w:vAlign w:val="top"/><w:shd w:val="clear" w:fill="F8F9FA"/></w:tcPr><w:p><w:pPr><w:spacing w:after="20"/></w:pPr><w:r><w:rPr><w:color w:val="333333"/><w:sz w:val="18"/><w:szCs w:val="18"/></w:rPr><w:t xml:space="preserve">If the Corporation Secretary left tomorrow, could their successor reconstruct the board's governance history?</w:t></w:r></w:p></w:tc></w:tr></w:tbl><w:p><w:pPr><w:pStyle w:val="Normal"/></w:pPr><w:r><w:rPr><w:color w:val="333333"/><w:sz w:val="22"/><w:szCs w:val="22"/></w:rPr><w:t xml:space="preserve">This is not a sales gimmick. It is a genuine value-add that demonstrates expertise and identifies specific problems E-Board solves. Document the findings and share them with the institution (without recommending E-Board in the document — let the findings speak for themselves, then follow up separately with how E-Board addresses each gap).</w:t></w:r></w:p><w:p><w:pPr><w:pStyle w:val="Heading2"/></w:pPr><w:bookmarkStart w:id="12" w:name="_Toc12"/><w:r><w:t>15.4 INTERNAL CHAMPIONS: IDENTIFYING AND SUPPORTING THEM</w:t></w:r><w:bookmarkEnd w:id="12"/></w:p><w:p><w:pPr><w:pStyle w:val="Heading3"/></w:pPr><w:bookmarkStart w:id="13" w:name="_Toc13"/><w:r><w:t>Who Makes an Effective Champion?</w:t></w:r><w:bookmarkEnd w:id="13"/></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Characteristic</w:t></w:r></w:p></w:tc><w:tc><w:tcPr><w:vAlign w:val="top"/><w:shd w:val="clear" w:fill="1B4F72"/></w:tcPr><w:p><w:pPr><w:spacing w:after="20"/></w:pPr><w:r><w:rPr><w:color w:val="FFFFFF"/><w:sz w:val="18"/><w:szCs w:val="18"/><w:b w:val="1"/><w:bCs w:val="1"/></w:rPr><w:t xml:space="preserve">Why It Matters</w:t></w:r></w:p></w:tc></w:tr><w:tr><w:trPr/><w:tc><w:tcPr><w:vAlign w:val="top"/></w:tcPr><w:p><w:pPr><w:spacing w:after="20"/></w:pPr><w:r><w:rPr><w:color w:val="333333"/><w:sz w:val="18"/><w:szCs w:val="18"/></w:rPr><w:t xml:space="preserve">**Personally frustrated with current process**</w:t></w:r></w:p></w:tc><w:tc><w:tcPr><w:vAlign w:val="top"/></w:tcPr><w:p><w:pPr><w:spacing w:after="20"/></w:pPr><w:r><w:rPr><w:color w:val="333333"/><w:sz w:val="18"/><w:szCs w:val="18"/></w:rPr><w:t xml:space="preserve">They have emotional motivation, not just rational interest</w:t></w:r></w:p></w:tc></w:tr><w:tr><w:trPr/><w:tc><w:tcPr><w:vAlign w:val="top"/><w:shd w:val="clear" w:fill="F8F9FA"/></w:tcPr><w:p><w:pPr><w:spacing w:after="20"/></w:pPr><w:r><w:rPr><w:color w:val="333333"/><w:sz w:val="18"/><w:szCs w:val="18"/></w:rPr><w:t xml:space="preserve">**Credible within the institution**</w:t></w:r></w:p></w:tc><w:tc><w:tcPr><w:vAlign w:val="top"/><w:shd w:val="clear" w:fill="F8F9FA"/></w:tcPr><w:p><w:pPr><w:spacing w:after="20"/></w:pPr><w:r><w:rPr><w:color w:val="333333"/><w:sz w:val="18"/><w:szCs w:val="18"/></w:rPr><w:t xml:space="preserve">Their recommendation carries weight with the CEO and procurement</w:t></w:r></w:p></w:tc></w:tr><w:tr><w:trPr/><w:tc><w:tcPr><w:vAlign w:val="top"/></w:tcPr><w:p><w:pPr><w:spacing w:after="20"/></w:pPr><w:r><w:rPr><w:color w:val="333333"/><w:sz w:val="18"/><w:szCs w:val="18"/></w:rPr><w:t xml:space="preserve">**Understands procurement**</w:t></w:r></w:p></w:tc><w:tc><w:tcPr><w:vAlign w:val="top"/></w:tcPr><w:p><w:pPr><w:spacing w:after="20"/></w:pPr><w:r><w:rPr><w:color w:val="333333"/><w:sz w:val="18"/><w:szCs w:val="18"/></w:rPr><w:t xml:space="preserve">They can navigate the internal process and advise Losvinca on timing</w:t></w:r></w:p></w:tc></w:tr><w:tr><w:trPr/><w:tc><w:tcPr><w:vAlign w:val="top"/><w:shd w:val="clear" w:fill="F8F9FA"/></w:tcPr><w:p><w:pPr><w:spacing w:after="20"/></w:pPr><w:r><w:rPr><w:color w:val="333333"/><w:sz w:val="18"/><w:szCs w:val="18"/></w:rPr><w:t xml:space="preserve">**Willing to invest time**</w:t></w:r></w:p></w:tc><w:tc><w:tcPr><w:vAlign w:val="top"/><w:shd w:val="clear" w:fill="F8F9FA"/></w:tcPr><w:p><w:pPr><w:spacing w:after="20"/></w:pPr><w:r><w:rPr><w:color w:val="333333"/><w:sz w:val="18"/><w:szCs w:val="18"/></w:rPr><w:t xml:space="preserve">They will attend demos, review documents, and make internal presentations</w:t></w:r></w:p></w:tc></w:tr></w:tbl><w:p><w:pPr><w:pStyle w:val="Normal"/></w:pPr><w:r><w:rPr><w:color w:val="333333"/><w:sz w:val="22"/><w:szCs w:val="22"/></w:rPr><w:t xml:space="preserve">The ideal champion is typically:</w:t></w:r></w:p><w:p><w:pPr><w:pStyle w:val="ListBullet"/><w:numPr><w:ilvl w:val="0"/><w:numId w:val="8"/></w:numPr></w:pPr><w:r><w:rPr><w:color w:val="333333"/><w:sz w:val="22"/><w:szCs w:val="22"/></w:rPr><w:t xml:space="preserve">The Corporation Secretary (most common)</w:t></w:r></w:p><w:p><w:pPr><w:pStyle w:val="ListBullet"/><w:numPr><w:ilvl w:val="0"/><w:numId w:val="8"/></w:numPr></w:pPr><w:r><w:rPr><w:color w:val="333333"/><w:sz w:val="22"/><w:szCs w:val="22"/></w:rPr><w:t xml:space="preserve">The ICT Manager (if tech-forward)</w:t></w:r></w:p><w:p><w:pPr><w:pStyle w:val="ListBullet"/><w:numPr><w:ilvl w:val="0"/><w:numId w:val="8"/></w:numPr></w:pPr><w:r><w:rPr><w:color w:val="333333"/><w:sz w:val="22"/><w:szCs w:val="22"/></w:rPr><w:t xml:space="preserve">The Deputy Director, Internal Audit (if governance-focused)</w:t></w:r></w:p><w:p><w:pPr><w:pStyle w:val="ListBullet"/><w:numPr><w:ilvl w:val="0"/><w:numId w:val="8"/></w:numPr></w:pPr><w:r><w:rPr><w:color w:val="333333"/><w:sz w:val="22"/><w:szCs w:val="22"/></w:rPr><w:t xml:space="preserve">A progressive board member (rare but powerful if the board chair)</w:t></w:r></w:p><w:p><w:pPr><w:pStyle w:val="Heading3"/></w:pPr><w:bookmarkStart w:id="14" w:name="_Toc14"/><w:r><w:t>How to Support Your Champion</w:t></w:r><w:bookmarkEnd w:id="14"/></w:p><w:p><w:pPr><w:pStyle w:val="ListBullet"/><w:numPr><w:ilvl w:val="0"/><w:numId w:val="9"/></w:numPr></w:pPr><w:r><w:rPr><w:color w:val="2C3E50"/><w:sz w:val="22"/><w:szCs w:val="22"/><w:b w:val="1"/><w:bCs w:val="1"/></w:rPr><w:t xml:space="preserve">Arm them with internal presentation materials.</w:t></w:r><w:r><w:rPr><w:color w:val="333333"/><w:sz w:val="22"/><w:szCs w:val="22"/></w:rPr><w:t xml:space="preserve">Arm them with internal presentation materials.</w:t></w:r><w:r><w:rPr><w:color w:val="333333"/><w:sz w:val="22"/><w:szCs w:val="22"/></w:rPr><w:t xml:space="preserve"> Create a 10-slide PowerPoint they can present to the CEO or management committee. [REQUIRES LOSVINCA INPUT — create champion deck]</w:t></w:r></w:p><w:p><w:pPr><w:pStyle w:val="ListBullet"/><w:numPr><w:ilvl w:val="0"/><w:numId w:val="9"/></w:numPr></w:pPr><w:r><w:rPr><w:color w:val="2C3E50"/><w:sz w:val="22"/><w:szCs w:val="22"/><w:b w:val="1"/><w:bCs w:val="1"/></w:rPr><w:t xml:space="preserve">Draft a memo for them.</w:t></w:r><w:r><w:rPr><w:color w:val="333333"/><w:sz w:val="22"/><w:szCs w:val="22"/></w:rPr><w:t xml:space="preserve">Draft a memo for them.</w:t></w:r><w:r><w:rPr><w:color w:val="333333"/><w:sz w:val="22"/><w:szCs w:val="22"/></w:rPr><w:t xml:space="preserve"> Prepare a draft internal memo proposing the adoption of a digital board management system. Do NOT mention E-Board by name — let it be a proposal for the category, with evaluation criteria that E-Board naturally meets.</w:t></w:r></w:p><w:p><w:pPr><w:pStyle w:val="ListBullet"/><w:numPr><w:ilvl w:val="0"/><w:numId w:val="9"/></w:numPr></w:pPr><w:r><w:rPr><w:color w:val="2C3E50"/><w:sz w:val="22"/><w:szCs w:val="22"/><w:b w:val="1"/><w:bCs w:val="1"/></w:rPr><w:t xml:space="preserve">Help them build the business case.</w:t></w:r><w:r><w:rPr><w:color w:val="333333"/><w:sz w:val="22"/><w:szCs w:val="22"/></w:rPr><w:t xml:space="preserve">Help them build the business case.</w:t></w:r><w:r><w:rPr><w:color w:val="333333"/><w:sz w:val="22"/><w:szCs w:val="22"/></w:rPr><w:t xml:space="preserve"> Provide ROI calculations, cost comparisons, and risk analysis. Include actual costs they currently incur: printing, courier, storage, administrative time.</w:t></w:r></w:p><w:p><w:pPr><w:pStyle w:val="ListBullet"/><w:numPr><w:ilvl w:val="0"/><w:numId w:val="9"/></w:numPr></w:pPr><w:r><w:rPr><w:color w:val="2C3E50"/><w:sz w:val="22"/><w:szCs w:val="22"/><w:b w:val="1"/><w:bCs w:val="1"/></w:rPr><w:t xml:space="preserve">Give them a demo they can show internally.</w:t></w:r><w:r><w:rPr><w:color w:val="333333"/><w:sz w:val="22"/><w:szCs w:val="22"/></w:rPr><w:t xml:space="preserve">Give them a demo they can show internally.</w:t></w:r><w:r><w:rPr><w:color w:val="333333"/><w:sz w:val="22"/><w:szCs w:val="22"/></w:rPr><w:t xml:space="preserve"> Provide access to a sandbox environment branded for their institution so they can walk colleagues through it.</w:t></w:r></w:p><w:p><w:pPr><w:pStyle w:val="ListBullet"/><w:numPr><w:ilvl w:val="0"/><w:numId w:val="9"/></w:numPr></w:pPr><w:r><w:rPr><w:color w:val="2C3E50"/><w:sz w:val="22"/><w:szCs w:val="22"/><w:b w:val="1"/><w:bCs w:val="1"/></w:rPr><w:t xml:space="preserve">Respect their position.</w:t></w:r><w:r><w:rPr><w:color w:val="333333"/><w:sz w:val="22"/><w:szCs w:val="22"/></w:rPr><w:t xml:space="preserve">Respect their position.</w:t></w:r><w:r><w:rPr><w:color w:val="333333"/><w:sz w:val="22"/><w:szCs w:val="22"/></w:rPr><w:t xml:space="preserve"> Never pressure a champion. Never share their internal advocacy with others in the institution. Never put them in a position that could be perceived as improper.</w:t></w:r></w:p><w:p><w:pPr><w:pStyle w:val="Heading2"/></w:pPr><w:bookmarkStart w:id="15" w:name="_Toc15"/><w:r><w:t>15.5 PROCUREMENT READINESS: BEING READY WHEN THE OPPORTUNITY COMES</w:t></w:r><w:bookmarkEnd w:id="15"/></w:p><w:p><w:pPr><w:pStyle w:val="Heading3"/></w:pPr><w:bookmarkStart w:id="16" w:name="_Toc16"/><w:r><w:t>15.5.1 Vendor Registration and Compliance</w:t></w:r><w:bookmarkEnd w:id="16"/></w:p><w:p><w:pPr><w:pStyle w:val="Normal"/></w:pPr><w:r><w:rPr><w:color w:val="2C3E50"/><w:sz w:val="22"/><w:szCs w:val="22"/><w:b w:val="1"/><w:bCs w:val="1"/></w:rPr><w:t xml:space="preserve">Mandatory requirements:</w:t></w:r><w:r><w:rPr><w:color w:val="333333"/><w:sz w:val="22"/><w:szCs w:val="22"/></w:rPr><w:t xml:space="preserve">Mandatory requirements:</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Requirement</w:t></w:r></w:p></w:tc><w:tc><w:tcPr><w:vAlign w:val="top"/><w:shd w:val="clear" w:fill="1B4F72"/></w:tcPr><w:p><w:pPr><w:spacing w:after="20"/></w:pPr><w:r><w:rPr><w:color w:val="FFFFFF"/><w:sz w:val="18"/><w:szCs w:val="18"/><w:b w:val="1"/><w:bCs w:val="1"/></w:rPr><w:t xml:space="preserve">Status</w:t></w:r></w:p></w:tc><w:tc><w:tcPr><w:vAlign w:val="top"/><w:shd w:val="clear" w:fill="1B4F72"/></w:tcPr><w:p><w:pPr><w:spacing w:after="20"/></w:pPr><w:r><w:rPr><w:color w:val="FFFFFF"/><w:sz w:val="18"/><w:szCs w:val="18"/><w:b w:val="1"/><w:bCs w:val="1"/></w:rPr><w:t xml:space="preserve">Action</w:t></w:r></w:p></w:tc></w:tr><w:tr><w:trPr/><w:tc><w:tcPr><w:vAlign w:val="top"/></w:tcPr><w:p><w:pPr><w:spacing w:after="20"/></w:pPr><w:r><w:rPr><w:color w:val="333333"/><w:sz w:val="18"/><w:szCs w:val="18"/></w:rPr><w:t xml:space="preserve">**KRA Tax Compliance Certificate**</w:t></w:r></w:p></w:tc><w:tc><w:tcPr><w:vAlign w:val="top"/></w:tcPr><w:p><w:pPr><w:spacing w:after="20"/></w:pPr><w:r><w:rPr><w:color w:val="333333"/><w:sz w:val="18"/><w:szCs w:val="18"/></w:rPr><w:t xml:space="preserve">[REQUIRES LOSVINCA INPUT]</w:t></w:r></w:p></w:tc><w:tc><w:tcPr><w:vAlign w:val="top"/></w:tcPr><w:p><w:pPr><w:spacing w:after="20"/></w:pPr><w:r><w:rPr><w:color w:val="333333"/><w:sz w:val="18"/><w:szCs w:val="18"/></w:rPr><w:t xml:space="preserve">Must be current. Renew annually.</w:t></w:r></w:p></w:tc></w:tr><w:tr><w:trPr/><w:tc><w:tcPr><w:vAlign w:val="top"/><w:shd w:val="clear" w:fill="F8F9FA"/></w:tcPr><w:p><w:pPr><w:spacing w:after="20"/></w:pPr><w:r><w:rPr><w:color w:val="333333"/><w:sz w:val="18"/><w:szCs w:val="18"/></w:rPr><w:t xml:space="preserve">**Company registration (CR12/CR13)**</w:t></w:r></w:p></w:tc><w:tc><w:tcPr><w:vAlign w:val="top"/><w:shd w:val="clear" w:fill="F8F9FA"/></w:tcPr><w:p><w:pPr><w:spacing w:after="20"/></w:pPr><w:r><w:rPr><w:color w:val="333333"/><w:sz w:val="18"/><w:szCs w:val="18"/></w:rPr><w:t xml:space="preserve">[REQUIRES LOSVINCA INPUT]</w:t></w:r></w:p></w:tc><w:tc><w:tcPr><w:vAlign w:val="top"/><w:shd w:val="clear" w:fill="F8F9FA"/></w:tcPr><w:p><w:pPr><w:spacing w:after="20"/></w:pPr><w:r><w:rPr><w:color w:val="333333"/><w:sz w:val="18"/><w:szCs w:val="18"/></w:rPr><w:t xml:space="preserve">Keep certified copies available.</w:t></w:r></w:p></w:tc></w:tr><w:tr><w:trPr/><w:tc><w:tcPr><w:vAlign w:val="top"/></w:tcPr><w:p><w:pPr><w:spacing w:after="20"/></w:pPr><w:r><w:rPr><w:color w:val="333333"/><w:sz w:val="18"/><w:szCs w:val="18"/></w:rPr><w:t xml:space="preserve">**Business permit**</w:t></w:r></w:p></w:tc><w:tc><w:tcPr><w:vAlign w:val="top"/></w:tcPr><w:p><w:pPr><w:spacing w:after="20"/></w:pPr><w:r><w:rPr><w:color w:val="333333"/><w:sz w:val="18"/><w:szCs w:val="18"/></w:rPr><w:t xml:space="preserve">[REQUIRES LOSVINCA INPUT]</w:t></w:r></w:p></w:tc><w:tc><w:tcPr><w:vAlign w:val="top"/></w:tcPr><w:p><w:pPr><w:spacing w:after="20"/></w:pPr><w:r><w:rPr><w:color w:val="333333"/><w:sz w:val="18"/><w:szCs w:val="18"/></w:rPr><w:t xml:space="preserve">Nairobi County or relevant county.</w:t></w:r></w:p></w:tc></w:tr><w:tr><w:trPr/><w:tc><w:tcPr><w:vAlign w:val="top"/><w:shd w:val="clear" w:fill="F8F9FA"/></w:tcPr><w:p><w:pPr><w:spacing w:after="20"/></w:pPr><w:r><w:rPr><w:color w:val="333333"/><w:sz w:val="18"/><w:szCs w:val="18"/></w:rPr><w:t xml:space="preserve">**AGPO Certificate** (if applicable)</w:t></w:r></w:p></w:tc><w:tc><w:tcPr><w:vAlign w:val="top"/><w:shd w:val="clear" w:fill="F8F9FA"/></w:tcPr><w:p><w:pPr><w:spacing w:after="20"/></w:pPr><w:r><w:rPr><w:color w:val="333333"/><w:sz w:val="18"/><w:szCs w:val="18"/></w:rPr><w:t xml:space="preserve">[REQUIRES LOSVINCA INPUT]</w:t></w:r></w:p></w:tc><w:tc><w:tcPr><w:vAlign w:val="top"/><w:shd w:val="clear" w:fill="F8F9FA"/></w:tcPr><w:p><w:pPr><w:spacing w:after="20"/></w:pPr><w:r><w:rPr><w:color w:val="333333"/><w:sz w:val="18"/><w:szCs w:val="18"/></w:rPr><w:t xml:space="preserve">Access to Government Procurement Opportunities — if Losvinca qualifies as youth, women, or PWD-owned.</w:t></w:r></w:p></w:tc></w:tr><w:tr><w:trPr/><w:tc><w:tcPr><w:vAlign w:val="top"/></w:tcPr><w:p><w:pPr><w:spacing w:after="20"/></w:pPr><w:r><w:rPr><w:color w:val="333333"/><w:sz w:val="18"/><w:szCs w:val="18"/></w:rPr><w:t xml:space="preserve">**IFMIS supplier registration**</w:t></w:r></w:p></w:tc><w:tc><w:tcPr><w:vAlign w:val="top"/></w:tcPr><w:p><w:pPr><w:spacing w:after="20"/></w:pPr><w:r><w:rPr><w:color w:val="333333"/><w:sz w:val="18"/><w:szCs w:val="18"/></w:rPr><w:t xml:space="preserve">[REQUIRES LOSVINCA INPUT]</w:t></w:r></w:p></w:tc><w:tc><w:tcPr><w:vAlign w:val="top"/></w:tcPr><w:p><w:pPr><w:spacing w:after="20"/></w:pPr><w:r><w:rPr><w:color w:val="333333"/><w:sz w:val="18"/><w:szCs w:val="18"/></w:rPr><w:t xml:space="preserve">Integrated Financial Management Information System — required for payment by most government entities.</w:t></w:r></w:p></w:tc></w:tr><w:tr><w:trPr/><w:tc><w:tcPr><w:vAlign w:val="top"/><w:shd w:val="clear" w:fill="F8F9FA"/></w:tcPr><w:p><w:pPr><w:spacing w:after="20"/></w:pPr><w:r><w:rPr><w:color w:val="333333"/><w:sz w:val="18"/><w:szCs w:val="18"/></w:rPr><w:t xml:space="preserve">**NCA registration** (if applicable)</w:t></w:r></w:p></w:tc><w:tc><w:tcPr><w:vAlign w:val="top"/><w:shd w:val="clear" w:fill="F8F9FA"/></w:tcPr><w:p><w:pPr><w:spacing w:after="20"/></w:pPr><w:r><w:rPr><w:color w:val="333333"/><w:sz w:val="18"/><w:szCs w:val="18"/></w:rPr><w:t xml:space="preserve">[REQUIRES LOSVINCA INPUT]</w:t></w:r></w:p></w:tc><w:tc><w:tcPr><w:vAlign w:val="top"/><w:shd w:val="clear" w:fill="F8F9FA"/></w:tcPr><w:p><w:pPr><w:spacing w:after="20"/></w:pPr><w:r><w:rPr><w:color w:val="333333"/><w:sz w:val="18"/><w:szCs w:val="18"/></w:rPr><w:t xml:space="preserve">National Construction Authority — only if providing hardware/cabling. Likely not applicable.</w:t></w:r></w:p></w:tc></w:tr><w:tr><w:trPr/><w:tc><w:tcPr><w:vAlign w:val="top"/></w:tcPr><w:p><w:pPr><w:spacing w:after="20"/></w:pPr><w:r><w:rPr><w:color w:val="333333"/><w:sz w:val="18"/><w:szCs w:val="18"/></w:rPr><w:t xml:space="preserve">**ICT Authority pre-qualification**</w:t></w:r></w:p></w:tc><w:tc><w:tcPr><w:vAlign w:val="top"/></w:tcPr><w:p><w:pPr><w:spacing w:after="20"/></w:pPr><w:r><w:rPr><w:color w:val="333333"/><w:sz w:val="18"/><w:szCs w:val="18"/></w:rPr><w:t xml:space="preserve">[REQUIRES LOSVINCA INPUT]</w:t></w:r></w:p></w:tc><w:tc><w:tcPr><w:vAlign w:val="top"/></w:tcPr><w:p><w:pPr><w:spacing w:after="20"/></w:pPr><w:r><w:rPr><w:color w:val="333333"/><w:sz w:val="18"/><w:szCs w:val="18"/></w:rPr><w:t xml:space="preserve">Some government entities require suppliers to be on ICT Authority's pre-qualified vendor list.</w:t></w:r></w:p></w:tc></w:tr></w:tbl><w:p><w:pPr><w:pStyle w:val="Normal"/></w:pPr><w:r><w:rPr><w:color w:val="2C3E50"/><w:sz w:val="22"/><w:szCs w:val="22"/><w:b w:val="1"/><w:bCs w:val="1"/></w:rPr><w:t xml:space="preserve">Recommended certifications and memberships:</w:t></w:r><w:r><w:rPr><w:color w:val="333333"/><w:sz w:val="22"/><w:szCs w:val="22"/></w:rPr><w:t xml:space="preserve">Recommended certifications and memberships:</w:t></w:r></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Item</w:t></w:r></w:p></w:tc><w:tc><w:tcPr><w:vAlign w:val="top"/><w:shd w:val="clear" w:fill="1B4F72"/></w:tcPr><w:p><w:pPr><w:spacing w:after="20"/></w:pPr><w:r><w:rPr><w:color w:val="FFFFFF"/><w:sz w:val="18"/><w:szCs w:val="18"/><w:b w:val="1"/><w:bCs w:val="1"/></w:rPr><w:t xml:space="preserve">Benefit</w:t></w:r></w:p></w:tc></w:tr><w:tr><w:trPr/><w:tc><w:tcPr><w:vAlign w:val="top"/></w:tcPr><w:p><w:pPr><w:spacing w:after="20"/></w:pPr><w:r><w:rPr><w:color w:val="333333"/><w:sz w:val="18"/><w:szCs w:val="18"/></w:rPr><w:t xml:space="preserve">**Kenya ICT Board / ICT Authority engagement**</w:t></w:r></w:p></w:tc><w:tc><w:tcPr><w:vAlign w:val="top"/></w:tcPr><w:p><w:pPr><w:spacing w:after="20"/></w:pPr><w:r><w:rPr><w:color w:val="333333"/><w:sz w:val="18"/><w:szCs w:val="18"/></w:rPr><w:t xml:space="preserve">Positions Losvinca as a recognised local technology provider</w:t></w:r></w:p></w:tc></w:tr><w:tr><w:trPr/><w:tc><w:tcPr><w:vAlign w:val="top"/><w:shd w:val="clear" w:fill="F8F9FA"/></w:tcPr><w:p><w:pPr><w:spacing w:after="20"/></w:pPr><w:r><w:rPr><w:color w:val="333333"/><w:sz w:val="18"/><w:szCs w:val="18"/></w:rPr><w:t xml:space="preserve">**KEPSA membership**</w:t></w:r></w:p></w:tc><w:tc><w:tcPr><w:vAlign w:val="top"/><w:shd w:val="clear" w:fill="F8F9FA"/></w:tcPr><w:p><w:pPr><w:spacing w:after="20"/></w:pPr><w:r><w:rPr><w:color w:val="333333"/><w:sz w:val="18"/><w:szCs w:val="18"/></w:rPr><w:t xml:space="preserve">Kenya Private Sector Alliance — networking with government and private sector</w:t></w:r></w:p></w:tc></w:tr><w:tr><w:trPr/><w:tc><w:tcPr><w:vAlign w:val="top"/></w:tcPr><w:p><w:pPr><w:spacing w:after="20"/></w:pPr><w:r><w:rPr><w:color w:val="333333"/><w:sz w:val="18"/><w:szCs w:val="18"/></w:rPr><w:t xml:space="preserve">**ISO 27001 certification** (future goal)</w:t></w:r></w:p></w:tc><w:tc><w:tcPr><w:vAlign w:val="top"/></w:tcPr><w:p><w:pPr><w:spacing w:after="20"/></w:pPr><w:r><w:rPr><w:color w:val="333333"/><w:sz w:val="18"/><w:szCs w:val="18"/></w:rPr><w:t xml:space="preserve">Information security management — significant competitive advantage in government procurement</w:t></w:r></w:p></w:tc></w:tr><w:tr><w:trPr/><w:tc><w:tcPr><w:vAlign w:val="top"/><w:shd w:val="clear" w:fill="F8F9FA"/></w:tcPr><w:p><w:pPr><w:spacing w:after="20"/></w:pPr><w:r><w:rPr><w:color w:val="333333"/><w:sz w:val="18"/><w:szCs w:val="18"/></w:rPr><w:t xml:space="preserve">**Data protection registration with ODPC**</w:t></w:r></w:p></w:tc><w:tc><w:tcPr><w:vAlign w:val="top"/><w:shd w:val="clear" w:fill="F8F9FA"/></w:tcPr><w:p><w:pPr><w:spacing w:after="20"/></w:pPr><w:r><w:rPr><w:color w:val="333333"/><w:sz w:val="18"/><w:szCs w:val="18"/></w:rPr><w:t xml:space="preserve">Compliance with Kenya Data Protection Act, 2019 — becoming a procurement requirement</w:t></w:r></w:p></w:tc></w:tr></w:tbl><w:p><w:pPr><w:pStyle w:val="Heading3"/></w:pPr><w:bookmarkStart w:id="17" w:name="_Toc17"/><w:r><w:t>15.5.2 Pre-Prepared Procurement Documents</w:t></w:r><w:bookmarkEnd w:id="17"/></w:p><w:p><w:pPr><w:pStyle w:val="Normal"/></w:pPr><w:r><w:rPr><w:color w:val="333333"/><w:sz w:val="22"/><w:szCs w:val="22"/></w:rPr><w:t xml:space="preserve">Losvinca should maintain a library of ready-to-use procurement documents, updated quarterly:</w:t></w:r></w:p><w:p><w:pPr><w:pStyle w:val="Normal"/></w:pPr><w:r><w:rPr><w:color w:val="2C3E50"/><w:sz w:val="22"/><w:szCs w:val="22"/><w:b w:val="1"/><w:bCs w:val="1"/></w:rPr><w:t xml:space="preserve">a) Company Profile</w:t></w:r><w:r><w:rPr><w:color w:val="333333"/><w:sz w:val="22"/><w:szCs w:val="22"/></w:rPr><w:t xml:space="preserve">a) Company Profile</w:t></w:r></w:p><w:p><w:pPr><w:pStyle w:val="ListBullet"/><w:numPr><w:ilvl w:val="0"/><w:numId w:val="8"/></w:numPr></w:pPr><w:r><w:rPr><w:color w:val="333333"/><w:sz w:val="22"/><w:szCs w:val="22"/></w:rPr><w:t xml:space="preserve">4–6 pages</w:t></w:r></w:p><w:p><w:pPr><w:pStyle w:val="ListBullet"/><w:numPr><w:ilvl w:val="0"/><w:numId w:val="8"/></w:numPr></w:pPr><w:r><w:rPr><w:color w:val="333333"/><w:sz w:val="22"/><w:szCs w:val="22"/></w:rPr><w:t xml:space="preserve">Company registration, directors, history</w:t></w:r></w:p><w:p><w:pPr><w:pStyle w:val="ListBullet"/><w:numPr><w:ilvl w:val="0"/><w:numId w:val="8"/></w:numPr></w:pPr><w:r><w:rPr><w:color w:val="333333"/><w:sz w:val="22"/><w:szCs w:val="22"/></w:rPr><w:t xml:space="preserve">Product description (E-Board)</w:t></w:r></w:p><w:p><w:pPr><w:pStyle w:val="ListBullet"/><w:numPr><w:ilvl w:val="0"/><w:numId w:val="8"/></w:numPr></w:pPr><w:r><w:rPr><w:color w:val="333333"/><w:sz w:val="22"/><w:szCs w:val="22"/></w:rPr><w:t xml:space="preserve">Client list / references [REQUIRES LOSVINCA INPUT — as clients are acquired]</w:t></w:r></w:p><w:p><w:pPr><w:pStyle w:val="ListBullet"/><w:numPr><w:ilvl w:val="0"/><w:numId w:val="8"/></w:numPr></w:pPr><w:r><w:rPr><w:color w:val="333333"/><w:sz w:val="22"/><w:szCs w:val="22"/></w:rPr><w:t xml:space="preserve">Contact details</w:t></w:r></w:p><w:p><w:pPr><w:pStyle w:val="Normal"/></w:pPr><w:r><w:rPr><w:color w:val="2C3E50"/><w:sz w:val="22"/><w:szCs w:val="22"/><w:b w:val="1"/><w:bCs w:val="1"/></w:rPr><w:t xml:space="preserve">b) Technical Proposal Template</w:t></w:r><w:r><w:rPr><w:color w:val="333333"/><w:sz w:val="22"/><w:szCs w:val="22"/></w:rPr><w:t xml:space="preserve">b) Technical Proposal Template</w:t></w:r></w:p><w:p><w:pPr><w:pStyle w:val="ListBullet"/><w:numPr><w:ilvl w:val="0"/><w:numId w:val="8"/></w:numPr></w:pPr><w:r><w:rPr><w:color w:val="333333"/><w:sz w:val="22"/><w:szCs w:val="22"/></w:rPr><w:t xml:space="preserve">System architecture overview</w:t></w:r></w:p><w:p><w:pPr><w:pStyle w:val="ListBullet"/><w:numPr><w:ilvl w:val="0"/><w:numId w:val="8"/></w:numPr></w:pPr><w:r><w:rPr><w:color w:val="333333"/><w:sz w:val="22"/><w:szCs w:val="22"/></w:rPr><w:t xml:space="preserve">Feature description mapped to institution requirements</w:t></w:r></w:p><w:p><w:pPr><w:pStyle w:val="ListBullet"/><w:numPr><w:ilvl w:val="0"/><w:numId w:val="8"/></w:numPr></w:pPr><w:r><w:rPr><w:color w:val="333333"/><w:sz w:val="22"/><w:szCs w:val="22"/></w:rPr><w:t xml:space="preserve">Security and data protection measures</w:t></w:r></w:p><w:p><w:pPr><w:pStyle w:val="ListBullet"/><w:numPr><w:ilvl w:val="0"/><w:numId w:val="8"/></w:numPr></w:pPr><w:r><w:rPr><w:color w:val="333333"/><w:sz w:val="22"/><w:szCs w:val="22"/></w:rPr><w:t xml:space="preserve">Hosting and infrastructure details</w:t></w:r></w:p><w:p><w:pPr><w:pStyle w:val="ListBullet"/><w:numPr><w:ilvl w:val="0"/><w:numId w:val="8"/></w:numPr></w:pPr><w:r><w:rPr><w:color w:val="333333"/><w:sz w:val="22"/><w:szCs w:val="22"/></w:rPr><w:t xml:space="preserve">Implementation methodology and timeline</w:t></w:r></w:p><w:p><w:pPr><w:pStyle w:val="ListBullet"/><w:numPr><w:ilvl w:val="0"/><w:numId w:val="8"/></w:numPr></w:pPr><w:r><w:rPr><w:color w:val="333333"/><w:sz w:val="22"/><w:szCs w:val="22"/></w:rPr><w:t xml:space="preserve">Training approach</w:t></w:r></w:p><w:p><w:pPr><w:pStyle w:val="ListBullet"/><w:numPr><w:ilvl w:val="0"/><w:numId w:val="8"/></w:numPr></w:pPr><w:r><w:rPr><w:color w:val="333333"/><w:sz w:val="22"/><w:szCs w:val="22"/></w:rPr><w:t xml:space="preserve">Support and SLA terms</w:t></w:r></w:p><w:p><w:pPr><w:pStyle w:val="ListBullet"/><w:numPr><w:ilvl w:val="0"/><w:numId w:val="8"/></w:numPr></w:pPr><w:r><w:rPr><w:color w:val="333333"/><w:sz w:val="22"/><w:szCs w:val="22"/></w:rPr><w:t xml:space="preserve">Technical team qualifications</w:t></w:r></w:p><w:p><w:pPr><w:pStyle w:val="Normal"/></w:pPr><w:r><w:rPr><w:color w:val="2C3E50"/><w:sz w:val="22"/><w:szCs w:val="22"/><w:b w:val="1"/><w:bCs w:val="1"/></w:rPr><w:t xml:space="preserve">c) Financial Proposal Template</w:t></w:r><w:r><w:rPr><w:color w:val="333333"/><w:sz w:val="22"/><w:szCs w:val="22"/></w:rPr><w:t xml:space="preserve">c) Financial Proposal Template</w:t></w:r></w:p><w:p><w:pPr><w:pStyle w:val="ListBullet"/><w:numPr><w:ilvl w:val="0"/><w:numId w:val="8"/></w:numPr></w:pPr><w:r><w:rPr><w:color w:val="333333"/><w:sz w:val="22"/><w:szCs w:val="22"/></w:rPr><w:t xml:space="preserve">Line-item pricing (aligned to Part 14 pricing structure)</w:t></w:r></w:p><w:p><w:pPr><w:pStyle w:val="ListBullet"/><w:numPr><w:ilvl w:val="0"/><w:numId w:val="8"/></w:numPr></w:pPr><w:r><w:rPr><w:color w:val="333333"/><w:sz w:val="22"/><w:szCs w:val="22"/></w:rPr><w:t xml:space="preserve">BOQ format familiar to government procurement officers</w:t></w:r></w:p><w:p><w:pPr><w:pStyle w:val="ListBullet"/><w:numPr><w:ilvl w:val="0"/><w:numId w:val="8"/></w:numPr></w:pPr><w:r><w:rPr><w:color w:val="333333"/><w:sz w:val="22"/><w:szCs w:val="22"/></w:rPr><w:t xml:space="preserve">Payment schedule</w:t></w:r></w:p><w:p><w:pPr><w:pStyle w:val="ListBullet"/><w:numPr><w:ilvl w:val="0"/><w:numId w:val="8"/></w:numPr></w:pPr><w:r><w:rPr><w:color w:val="333333"/><w:sz w:val="22"/><w:szCs w:val="22"/></w:rPr><w:t xml:space="preserve">Pricing validity period (typically 90 days)</w:t></w:r></w:p><w:p><w:pPr><w:pStyle w:val="ListBullet"/><w:numPr><w:ilvl w:val="0"/><w:numId w:val="8"/></w:numPr></w:pPr><w:r><w:rPr><w:color w:val="333333"/><w:sz w:val="22"/><w:szCs w:val="22"/></w:rPr><w:t xml:space="preserve">Currency and tax treatment (VAT-inclusive where required)</w:t></w:r></w:p><w:p><w:pPr><w:pStyle w:val="Normal"/></w:pPr><w:r><w:rPr><w:color w:val="2C3E50"/><w:sz w:val="22"/><w:szCs w:val="22"/><w:b w:val="1"/><w:bCs w:val="1"/></w:rPr><w:t xml:space="preserve">d) Reference Letters</w:t></w:r><w:r><w:rPr><w:color w:val="333333"/><w:sz w:val="22"/><w:szCs w:val="22"/></w:rPr><w:t xml:space="preserve">d) Reference Letters</w:t></w:r></w:p><w:p><w:pPr><w:pStyle w:val="Normal"/></w:pPr><w:r><w:rPr><w:color w:val="333333"/><w:sz w:val="22"/><w:szCs w:val="22"/></w:rPr><w:t xml:space="preserve">[REQUIRES LOSVINCA INPUT — collect from early adopters]</w:t></w:r></w:p><w:p><w:pPr><w:pStyle w:val="ListBullet"/><w:numPr><w:ilvl w:val="0"/><w:numId w:val="8"/></w:numPr></w:pPr><w:r><w:rPr><w:color w:val="333333"/><w:sz w:val="22"/><w:szCs w:val="22"/></w:rPr><w:t xml:space="preserve">At least 3 reference letters from existing clients</w:t></w:r></w:p><w:p><w:pPr><w:pStyle w:val="ListBullet"/><w:numPr><w:ilvl w:val="0"/><w:numId w:val="8"/></w:numPr></w:pPr><w:r><w:rPr><w:color w:val="333333"/><w:sz w:val="22"/><w:szCs w:val="22"/></w:rPr><w:t xml:space="preserve">Include contact person, phone, email for verification</w:t></w:r></w:p><w:p><w:pPr><w:pStyle w:val="ListBullet"/><w:numPr><w:ilvl w:val="0"/><w:numId w:val="8"/></w:numPr></w:pPr><w:r><w:rPr><w:color w:val="333333"/><w:sz w:val="22"/><w:szCs w:val="22"/></w:rPr><w:t xml:space="preserve">Focus on institutions similar to the target</w:t></w:r></w:p><w:p><w:pPr><w:pStyle w:val="Normal"/></w:pPr><w:r><w:rPr><w:color w:val="2C3E50"/><w:sz w:val="22"/><w:szCs w:val="22"/><w:b w:val="1"/><w:bCs w:val="1"/></w:rPr><w:t xml:space="preserve">e) Technical Compliance Matrix</w:t></w:r><w:r><w:rPr><w:color w:val="333333"/><w:sz w:val="22"/><w:szCs w:val="22"/></w:rPr><w:t xml:space="preserve">e) Technical Compliance Matrix</w:t></w:r></w:p><w:p><w:pPr><w:pStyle w:val="ListBullet"/><w:numPr><w:ilvl w:val="0"/><w:numId w:val="8"/></w:numPr></w:pPr><w:r><w:rPr><w:color w:val="333333"/><w:sz w:val="22"/><w:szCs w:val="22"/></w:rPr><w:t xml:space="preserve">Checklist format matching typical government ICT tender requirements</w:t></w:r></w:p><w:p><w:pPr><w:pStyle w:val="ListBullet"/><w:numPr><w:ilvl w:val="0"/><w:numId w:val="8"/></w:numPr></w:pPr><w:r><w:rPr><w:color w:val="333333"/><w:sz w:val="22"/><w:szCs w:val="22"/></w:rPr><w:t xml:space="preserve">Feature-by-feature response (Compliant / Partially Compliant / Not Applicable)</w:t></w:r></w:p><w:p><w:pPr><w:pStyle w:val="ListBullet"/><w:numPr><w:ilvl w:val="0"/><w:numId w:val="8"/></w:numPr></w:pPr><w:r><w:rPr><w:color w:val="333333"/><w:sz w:val="22"/><w:szCs w:val="22"/></w:rPr><w:t xml:space="preserve">Cross-references to demonstration evidence</w:t></w:r></w:p><w:p><w:pPr><w:pStyle w:val="Normal"/></w:pPr><w:r><w:rPr><w:color w:val="2C3E50"/><w:sz w:val="22"/><w:szCs w:val="22"/><w:b w:val="1"/><w:bCs w:val="1"/></w:rPr><w:t xml:space="preserve">f) Draft Service Level Agreement</w:t></w:r><w:r><w:rPr><w:color w:val="333333"/><w:sz w:val="22"/><w:szCs w:val="22"/></w:rPr><w:t xml:space="preserve">f) Draft Service Level Agreement</w:t></w:r></w:p><w:p><w:pPr><w:pStyle w:val="ListBullet"/><w:numPr><w:ilvl w:val="0"/><w:numId w:val="8"/></w:numPr></w:pPr><w:r><w:rPr><w:color w:val="333333"/><w:sz w:val="22"/><w:szCs w:val="22"/></w:rPr><w:t xml:space="preserve">Performance metrics</w:t></w:r></w:p><w:p><w:pPr><w:pStyle w:val="ListBullet"/><w:numPr><w:ilvl w:val="0"/><w:numId w:val="8"/></w:numPr></w:pPr><w:r><w:rPr><w:color w:val="333333"/><w:sz w:val="22"/><w:szCs w:val="22"/></w:rPr><w:t xml:space="preserve">Support response times</w:t></w:r></w:p><w:p><w:pPr><w:pStyle w:val="ListBullet"/><w:numPr><w:ilvl w:val="0"/><w:numId w:val="8"/></w:numPr></w:pPr><w:r><w:rPr><w:color w:val="333333"/><w:sz w:val="22"/><w:szCs w:val="22"/></w:rPr><w:t xml:space="preserve">Escalation procedures</w:t></w:r></w:p><w:p><w:pPr><w:pStyle w:val="ListBullet"/><w:numPr><w:ilvl w:val="0"/><w:numId w:val="8"/></w:numPr></w:pPr><w:r><w:rPr><w:color w:val="333333"/><w:sz w:val="22"/><w:szCs w:val="22"/></w:rPr><w:t xml:space="preserve">Penalties for non-performance (government entities often require these)</w:t></w:r></w:p><w:p><w:pPr><w:pStyle w:val="ListBullet"/><w:numPr><w:ilvl w:val="0"/><w:numId w:val="8"/></w:numPr></w:pPr><w:r><w:rPr><w:color w:val="333333"/><w:sz w:val="22"/><w:szCs w:val="22"/></w:rPr><w:t xml:space="preserve">Data ownership and exit provisions</w:t></w:r></w:p><w:p><w:pPr><w:pStyle w:val="Heading3"/></w:pPr><w:bookmarkStart w:id="18" w:name="_Toc18"/><w:r><w:t>15.5.3 Pricing for Government Procurement</w:t></w:r><w:bookmarkEnd w:id="18"/></w:p><w:p><w:pPr><w:pStyle w:val="ListBullet"/><w:numPr><w:ilvl w:val="0"/><w:numId w:val="8"/></w:numPr></w:pPr><w:r><w:rPr><w:color w:val="333333"/><w:sz w:val="22"/><w:szCs w:val="22"/></w:rPr><w:t xml:space="preserve">Always quote in KES, VAT-inclusive (or clearly state "exclusive of VAT" if required by the tender).</w:t></w:r></w:p><w:p><w:pPr><w:pStyle w:val="ListBullet"/><w:numPr><w:ilvl w:val="0"/><w:numId w:val="8"/></w:numPr></w:pPr><w:r><w:rPr><w:color w:val="333333"/><w:sz w:val="22"/><w:szCs w:val="22"/></w:rPr><w:t xml:space="preserve">Use line-item format familiar to government procurement:</w:t></w:r></w:p><w:tbl><w:tblGrid><w:gridCol/><w:gridCol/><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Item</w:t></w:r></w:p></w:tc><w:tc><w:tcPr><w:vAlign w:val="top"/><w:shd w:val="clear" w:fill="1B4F72"/></w:tcPr><w:p><w:pPr><w:spacing w:after="20"/></w:pPr><w:r><w:rPr><w:color w:val="FFFFFF"/><w:sz w:val="18"/><w:szCs w:val="18"/><w:b w:val="1"/><w:bCs w:val="1"/></w:rPr><w:t xml:space="preserve">Description</w:t></w:r></w:p></w:tc><w:tc><w:tcPr><w:vAlign w:val="top"/><w:shd w:val="clear" w:fill="1B4F72"/></w:tcPr><w:p><w:pPr><w:spacing w:after="20"/></w:pPr><w:r><w:rPr><w:color w:val="FFFFFF"/><w:sz w:val="18"/><w:szCs w:val="18"/><w:b w:val="1"/><w:bCs w:val="1"/></w:rPr><w:t xml:space="preserve">Qty</w:t></w:r></w:p></w:tc><w:tc><w:tcPr><w:vAlign w:val="top"/><w:shd w:val="clear" w:fill="1B4F72"/></w:tcPr><w:p><w:pPr><w:spacing w:after="20"/></w:pPr><w:r><w:rPr><w:color w:val="FFFFFF"/><w:sz w:val="18"/><w:szCs w:val="18"/><w:b w:val="1"/><w:bCs w:val="1"/></w:rPr><w:t xml:space="preserve">Unit</w:t></w:r></w:p></w:tc><w:tc><w:tcPr><w:vAlign w:val="top"/><w:shd w:val="clear" w:fill="1B4F72"/></w:tcPr><w:p><w:pPr><w:spacing w:after="20"/></w:pPr><w:r><w:rPr><w:color w:val="FFFFFF"/><w:sz w:val="18"/><w:szCs w:val="18"/><w:b w:val="1"/><w:bCs w:val="1"/></w:rPr><w:t xml:space="preserve">Unit Price (KES)</w:t></w:r></w:p></w:tc><w:tc><w:tcPr><w:vAlign w:val="top"/><w:shd w:val="clear" w:fill="1B4F72"/></w:tcPr><w:p><w:pPr><w:spacing w:after="20"/></w:pPr><w:r><w:rPr><w:color w:val="FFFFFF"/><w:sz w:val="18"/><w:szCs w:val="18"/><w:b w:val="1"/><w:bCs w:val="1"/></w:rPr><w:t xml:space="preserve">Total (KES)</w:t></w:r></w:p></w:tc></w:tr><w:tr><w:trPr/><w:tc><w:tcPr><w:vAlign w:val="top"/></w:tcPr><w:p><w:pPr><w:spacing w:after="20"/></w:pPr><w:r><w:rPr><w:color w:val="333333"/><w:sz w:val="18"/><w:szCs w:val="18"/></w:rPr><w:t xml:space="preserve">1</w:t></w:r></w:p></w:tc><w:tc><w:tcPr><w:vAlign w:val="top"/></w:tcPr><w:p><w:pPr><w:spacing w:after="20"/></w:pPr><w:r><w:rPr><w:color w:val="333333"/><w:sz w:val="18"/><w:szCs w:val="18"/></w:rPr><w:t xml:space="preserve">E-Board Platform Licence — Enterprise Tier</w:t></w:r></w:p></w:tc><w:tc><w:tcPr><w:vAlign w:val="top"/></w:tcPr><w:p><w:pPr><w:spacing w:after="20"/></w:pPr><w:r><w:rPr><w:color w:val="333333"/><w:sz w:val="18"/><w:szCs w:val="18"/></w:rPr><w:t xml:space="preserve">1</w:t></w:r></w:p></w:tc><w:tc><w:tcPr><w:vAlign w:val="top"/></w:tcPr><w:p><w:pPr><w:spacing w:after="20"/></w:pPr><w:r><w:rPr><w:color w:val="333333"/><w:sz w:val="18"/><w:szCs w:val="18"/></w:rPr><w:t xml:space="preserve">Year</w:t></w:r></w:p></w:tc><w:tc><w:tcPr><w:vAlign w:val="top"/></w:tcPr><w:p><w:pPr><w:spacing w:after="20"/></w:pPr><w:r><w:rPr><w:color w:val="333333"/><w:sz w:val="18"/><w:szCs w:val="18"/></w:rPr><w:t xml:space="preserve">1,887,000</w:t></w:r></w:p></w:tc><w:tc><w:tcPr><w:vAlign w:val="top"/></w:tcPr><w:p><w:pPr><w:spacing w:after="20"/></w:pPr><w:r><w:rPr><w:color w:val="333333"/><w:sz w:val="18"/><w:szCs w:val="18"/></w:rPr><w:t xml:space="preserve">1,887,000</w:t></w:r></w:p></w:tc></w:tr><w:tr><w:trPr/><w:tc><w:tcPr><w:vAlign w:val="top"/><w:shd w:val="clear" w:fill="F8F9FA"/></w:tcPr><w:p><w:pPr><w:spacing w:after="20"/></w:pPr><w:r><w:rPr><w:color w:val="333333"/><w:sz w:val="18"/><w:szCs w:val="18"/></w:rPr><w:t xml:space="preserve">2</w:t></w:r></w:p></w:tc><w:tc><w:tcPr><w:vAlign w:val="top"/><w:shd w:val="clear" w:fill="F8F9FA"/></w:tcPr><w:p><w:pPr><w:spacing w:after="20"/></w:pPr><w:r><w:rPr><w:color w:val="333333"/><w:sz w:val="18"/><w:szCs w:val="18"/></w:rPr><w:t xml:space="preserve">Implementation and Configuration</w:t></w:r></w:p></w:tc><w:tc><w:tcPr><w:vAlign w:val="top"/><w:shd w:val="clear" w:fill="F8F9FA"/></w:tcPr><w:p><w:pPr><w:spacing w:after="20"/></w:pPr><w:r><w:rPr><w:color w:val="333333"/><w:sz w:val="18"/><w:szCs w:val="18"/></w:rPr><w:t xml:space="preserve">1</w:t></w:r></w:p></w:tc><w:tc><w:tcPr><w:vAlign w:val="top"/><w:shd w:val="clear" w:fill="F8F9FA"/></w:tcPr><w:p><w:pPr><w:spacing w:after="20"/></w:pPr><w:r><w:rPr><w:color w:val="333333"/><w:sz w:val="18"/><w:szCs w:val="18"/></w:rPr><w:t xml:space="preserve">Lot</w:t></w:r></w:p></w:tc><w:tc><w:tcPr><w:vAlign w:val="top"/><w:shd w:val="clear" w:fill="F8F9FA"/></w:tcPr><w:p><w:pPr><w:spacing w:after="20"/></w:pPr><w:r><w:rPr><w:color w:val="333333"/><w:sz w:val="18"/><w:szCs w:val="18"/></w:rPr><w:t xml:space="preserve">500,000</w:t></w:r></w:p></w:tc><w:tc><w:tcPr><w:vAlign w:val="top"/><w:shd w:val="clear" w:fill="F8F9FA"/></w:tcPr><w:p><w:pPr><w:spacing w:after="20"/></w:pPr><w:r><w:rPr><w:color w:val="333333"/><w:sz w:val="18"/><w:szCs w:val="18"/></w:rPr><w:t xml:space="preserve">500,000</w:t></w:r></w:p></w:tc></w:tr><w:tr><w:trPr/><w:tc><w:tcPr><w:vAlign w:val="top"/></w:tcPr><w:p><w:pPr><w:spacing w:after="20"/></w:pPr><w:r><w:rPr><w:color w:val="333333"/><w:sz w:val="18"/><w:szCs w:val="18"/></w:rPr><w:t xml:space="preserve">3</w:t></w:r></w:p></w:tc><w:tc><w:tcPr><w:vAlign w:val="top"/></w:tcPr><w:p><w:pPr><w:spacing w:after="20"/></w:pPr><w:r><w:rPr><w:color w:val="333333"/><w:sz w:val="18"/><w:szCs w:val="18"/></w:rPr><w:t xml:space="preserve">Data Migration</w:t></w:r></w:p></w:tc><w:tc><w:tcPr><w:vAlign w:val="top"/></w:tcPr><w:p><w:pPr><w:spacing w:after="20"/></w:pPr><w:r><w:rPr><w:color w:val="333333"/><w:sz w:val="18"/><w:szCs w:val="18"/></w:rPr><w:t xml:space="preserve">1</w:t></w:r></w:p></w:tc><w:tc><w:tcPr><w:vAlign w:val="top"/></w:tcPr><w:p><w:pPr><w:spacing w:after="20"/></w:pPr><w:r><w:rPr><w:color w:val="333333"/><w:sz w:val="18"/><w:szCs w:val="18"/></w:rPr><w:t xml:space="preserve">Lot</w:t></w:r></w:p></w:tc><w:tc><w:tcPr><w:vAlign w:val="top"/></w:tcPr><w:p><w:pPr><w:spacing w:after="20"/></w:pPr><w:r><w:rPr><w:color w:val="333333"/><w:sz w:val="18"/><w:szCs w:val="18"/></w:rPr><w:t xml:space="preserve">300,000</w:t></w:r></w:p></w:tc><w:tc><w:tcPr><w:vAlign w:val="top"/></w:tcPr><w:p><w:pPr><w:spacing w:after="20"/></w:pPr><w:r><w:rPr><w:color w:val="333333"/><w:sz w:val="18"/><w:szCs w:val="18"/></w:rPr><w:t xml:space="preserve">300,000</w:t></w:r></w:p></w:tc></w:tr><w:tr><w:trPr/><w:tc><w:tcPr><w:vAlign w:val="top"/><w:shd w:val="clear" w:fill="F8F9FA"/></w:tcPr><w:p><w:pPr><w:spacing w:after="20"/></w:pPr><w:r><w:rPr><w:color w:val="333333"/><w:sz w:val="18"/><w:szCs w:val="18"/></w:rPr><w:t xml:space="preserve">4</w:t></w:r></w:p></w:tc><w:tc><w:tcPr><w:vAlign w:val="top"/><w:shd w:val="clear" w:fill="F8F9FA"/></w:tcPr><w:p><w:pPr><w:spacing w:after="20"/></w:pPr><w:r><w:rPr><w:color w:val="333333"/><w:sz w:val="18"/><w:szCs w:val="18"/></w:rPr><w:t xml:space="preserve">User Training (On-site, 2 days)</w:t></w:r></w:p></w:tc><w:tc><w:tcPr><w:vAlign w:val="top"/><w:shd w:val="clear" w:fill="F8F9FA"/></w:tcPr><w:p><w:pPr><w:spacing w:after="20"/></w:pPr><w:r><w:rPr><w:color w:val="333333"/><w:sz w:val="18"/><w:szCs w:val="18"/></w:rPr><w:t xml:space="preserve">1</w:t></w:r></w:p></w:tc><w:tc><w:tcPr><w:vAlign w:val="top"/><w:shd w:val="clear" w:fill="F8F9FA"/></w:tcPr><w:p><w:pPr><w:spacing w:after="20"/></w:pPr><w:r><w:rPr><w:color w:val="333333"/><w:sz w:val="18"/><w:szCs w:val="18"/></w:rPr><w:t xml:space="preserve">Lot</w:t></w:r></w:p></w:tc><w:tc><w:tcPr><w:vAlign w:val="top"/><w:shd w:val="clear" w:fill="F8F9FA"/></w:tcPr><w:p><w:pPr><w:spacing w:after="20"/></w:pPr><w:r><w:rPr><w:color w:val="333333"/><w:sz w:val="18"/><w:szCs w:val="18"/></w:rPr><w:t xml:space="preserve">150,000</w:t></w:r></w:p></w:tc><w:tc><w:tcPr><w:vAlign w:val="top"/><w:shd w:val="clear" w:fill="F8F9FA"/></w:tcPr><w:p><w:pPr><w:spacing w:after="20"/></w:pPr><w:r><w:rPr><w:color w:val="333333"/><w:sz w:val="18"/><w:szCs w:val="18"/></w:rPr><w:t xml:space="preserve">150,000</w:t></w:r></w:p></w:tc></w:tr><w:tr><w:trPr/><w:tc><w:tcPr><w:vAlign w:val="top"/></w:tcPr><w:p><w:pPr><w:spacing w:after="20"/></w:pPr><w:r><w:rPr><w:color w:val="333333"/><w:sz w:val="18"/><w:szCs w:val="18"/></w:rPr><w:t xml:space="preserve">5</w:t></w:r></w:p></w:tc><w:tc><w:tcPr><w:vAlign w:val="top"/></w:tcPr><w:p><w:pPr><w:spacing w:after="20"/></w:pPr><w:r><w:rPr><w:color w:val="333333"/><w:sz w:val="18"/><w:szCs w:val="18"/></w:rPr><w:t xml:space="preserve">Board Member Training (Remote)</w:t></w:r></w:p></w:tc><w:tc><w:tcPr><w:vAlign w:val="top"/></w:tcPr><w:p><w:pPr><w:spacing w:after="20"/></w:pPr><w:r><w:rPr><w:color w:val="333333"/><w:sz w:val="18"/><w:szCs w:val="18"/></w:rPr><w:t xml:space="preserve">1</w:t></w:r></w:p></w:tc><w:tc><w:tcPr><w:vAlign w:val="top"/></w:tcPr><w:p><w:pPr><w:spacing w:after="20"/></w:pPr><w:r><w:rPr><w:color w:val="333333"/><w:sz w:val="18"/><w:szCs w:val="18"/></w:rPr><w:t xml:space="preserve">Session</w:t></w:r></w:p></w:tc><w:tc><w:tcPr><w:vAlign w:val="top"/></w:tcPr><w:p><w:pPr><w:spacing w:after="20"/></w:pPr><w:r><w:rPr><w:color w:val="333333"/><w:sz w:val="18"/><w:szCs w:val="18"/></w:rPr><w:t xml:space="preserve">45,000</w:t></w:r></w:p></w:tc><w:tc><w:tcPr><w:vAlign w:val="top"/></w:tcPr><w:p><w:pPr><w:spacing w:after="20"/></w:pPr><w:r><w:rPr><w:color w:val="333333"/><w:sz w:val="18"/><w:szCs w:val="18"/></w:rPr><w:t xml:space="preserve">45,000</w:t></w:r></w:p></w:tc></w:tr><w:tr><w:trPr/><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**TOTAL (Excl. VAT)**</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**2,882,000**</w:t></w:r></w:p></w:tc></w:tr><w:tr><w:trPr/><w:tc><w:tcPr><w:vAlign w:val="top"/></w:tcPr><w:p><w:pPr><w:spacing w:after="20"/></w:pPr><w:r><w:rPr><w:color w:val="333333"/><w:sz w:val="18"/><w:szCs w:val="18"/></w:rPr><w:t xml:space="preserve"></w:t></w:r></w:p></w:tc><w:tc><w:tcPr><w:vAlign w:val="top"/></w:tcPr><w:p><w:pPr><w:spacing w:after="20"/></w:pPr><w:r><w:rPr><w:color w:val="333333"/><w:sz w:val="18"/><w:szCs w:val="18"/></w:rPr><w:t xml:space="preserve">**VAT (16%)**</w:t></w:r></w:p></w:tc><w:tc><w:tcPr><w:vAlign w:val="top"/></w:tcPr><w:p><w:pPr><w:spacing w:after="20"/></w:pPr><w:r><w:rPr><w:color w:val="333333"/><w:sz w:val="18"/><w:szCs w:val="18"/></w:rPr><w:t xml:space="preserve"></w:t></w:r></w:p></w:tc><w:tc><w:tcPr><w:vAlign w:val="top"/></w:tcPr><w:p><w:pPr><w:spacing w:after="20"/></w:pPr><w:r><w:rPr><w:color w:val="333333"/><w:sz w:val="18"/><w:szCs w:val="18"/></w:rPr><w:t xml:space="preserve"></w:t></w:r></w:p></w:tc><w:tc><w:tcPr><w:vAlign w:val="top"/></w:tcPr><w:p><w:pPr><w:spacing w:after="20"/></w:pPr><w:r><w:rPr><w:color w:val="333333"/><w:sz w:val="18"/><w:szCs w:val="18"/></w:rPr><w:t xml:space="preserve"></w:t></w:r></w:p></w:tc><w:tc><w:tcPr><w:vAlign w:val="top"/></w:tcPr><w:p><w:pPr><w:spacing w:after="20"/></w:pPr><w:r><w:rPr><w:color w:val="333333"/><w:sz w:val="18"/><w:szCs w:val="18"/></w:rPr><w:t xml:space="preserve">**461,120**</w:t></w:r></w:p></w:tc></w:tr><w:tr><w:trPr/><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**TOTAL (Incl. VAT)**</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w:t></w:r></w:p></w:tc><w:tc><w:tcPr><w:vAlign w:val="top"/><w:shd w:val="clear" w:fill="F8F9FA"/></w:tcPr><w:p><w:pPr><w:spacing w:after="20"/></w:pPr><w:r><w:rPr><w:color w:val="333333"/><w:sz w:val="18"/><w:szCs w:val="18"/></w:rPr><w:t xml:space="preserve">**3,343,120**</w:t></w:r></w:p></w:tc></w:tr></w:tbl><w:p><w:pPr><w:pStyle w:val="Heading2"/></w:pPr><w:bookmarkStart w:id="19" w:name="_Toc19"/><w:r><w:t>15.6 RESPONDING TO RFQs AND TENDERS</w:t></w:r><w:bookmarkEnd w:id="19"/></w:p><w:p><w:pPr><w:pStyle w:val="Heading3"/></w:pPr><w:bookmarkStart w:id="20" w:name="_Toc20"/><w:r><w:t>Step-by-Step Response Process</w:t></w:r><w:bookmarkEnd w:id="20"/></w:p><w:p><w:pPr><w:pStyle w:val="Normal"/></w:pPr><w:r><w:rPr><w:color w:val="2C3E50"/><w:sz w:val="22"/><w:szCs w:val="22"/><w:b w:val="1"/><w:bCs w:val="1"/></w:rPr><w:t xml:space="preserve">1. Tender identification (ongoing)</w:t></w:r><w:r><w:rPr><w:color w:val="333333"/><w:sz w:val="22"/><w:szCs w:val="22"/></w:rPr><w:t xml:space="preserve">1. Tender identification (ongoing)</w:t></w:r></w:p><w:p><w:pPr><w:pStyle w:val="ListBullet"/><w:numPr><w:ilvl w:val="0"/><w:numId w:val="8"/></w:numPr></w:pPr><w:r><w:rPr><w:color w:val="333333"/><w:sz w:val="22"/><w:szCs w:val="22"/></w:rPr><w:t xml:space="preserve">Monitor PPIP (Public Procurement Information Portal): tenders.go.ke</w:t></w:r></w:p><w:p><w:pPr><w:pStyle w:val="ListBullet"/><w:numPr><w:ilvl w:val="0"/><w:numId w:val="8"/></w:numPr></w:pPr><w:r><w:rPr><w:color w:val="333333"/><w:sz w:val="22"/><w:szCs w:val="22"/></w:rPr><w:t xml:space="preserve">Monitor MyGov newspaper advertisements</w:t></w:r></w:p><w:p><w:pPr><w:pStyle w:val="ListBullet"/><w:numPr><w:ilvl w:val="0"/><w:numId w:val="8"/></w:numPr></w:pPr><w:r><w:rPr><w:color w:val="333333"/><w:sz w:val="22"/><w:szCs w:val="22"/></w:rPr><w:t xml:space="preserve">Monitor individual institution websites</w:t></w:r></w:p><w:p><w:pPr><w:pStyle w:val="ListBullet"/><w:numPr><w:ilvl w:val="0"/><w:numId w:val="8"/></w:numPr></w:pPr><w:r><w:rPr><w:color w:val="333333"/><w:sz w:val="22"/><w:szCs w:val="22"/></w:rPr><w:t xml:space="preserve">Register for email alerts from procurement portals</w:t></w:r></w:p><w:p><w:pPr><w:pStyle w:val="ListBullet"/><w:numPr><w:ilvl w:val="0"/><w:numId w:val="8"/></w:numPr></w:pPr><w:r><w:rPr><w:color w:val="333333"/><w:sz w:val="22"/><w:szCs w:val="22"/></w:rPr><w:t xml:space="preserve">Engage procurement officers at target institutions to learn about upcoming opportunities</w:t></w:r></w:p><w:p><w:pPr><w:pStyle w:val="ListBullet"/><w:numPr><w:ilvl w:val="0"/><w:numId w:val="8"/></w:numPr></w:pPr><w:r><w:rPr><w:color w:val="333333"/><w:sz w:val="22"/><w:szCs w:val="22"/></w:rPr><w:t xml:space="preserve">Network with ICT consultants who advise government entities on specifications</w:t></w:r></w:p><w:p><w:pPr><w:pStyle w:val="Normal"/></w:pPr><w:r><w:rPr><w:color w:val="333333"/><w:sz w:val="22"/><w:szCs w:val="22"/></w:rPr><w:t xml:space="preserve">[REQUIRES LOSVINCA INPUT — assign someone to monitor tender portals daily]</w:t></w:r></w:p><w:p><w:pPr><w:pStyle w:val="Normal"/></w:pPr><w:r><w:rPr><w:color w:val="2C3E50"/><w:sz w:val="22"/><w:szCs w:val="22"/><w:b w:val="1"/><w:bCs w:val="1"/></w:rPr><w:t xml:space="preserve">2. Bid/No-bid decision (within 24 hours of identification)</w:t></w:r><w:r><w:rPr><w:color w:val="333333"/><w:sz w:val="22"/><w:szCs w:val="22"/></w:rPr><w:t xml:space="preserve">2. Bid/No-bid decision (within 24 hours of identification)</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Evaluate</w:t></w:r></w:p></w:tc><w:tc><w:tcPr><w:vAlign w:val="top"/><w:shd w:val="clear" w:fill="1B4F72"/></w:tcPr><w:p><w:pPr><w:spacing w:after="20"/></w:pPr><w:r><w:rPr><w:color w:val="FFFFFF"/><w:sz w:val="18"/><w:szCs w:val="18"/><w:b w:val="1"/><w:bCs w:val="1"/></w:rPr><w:t xml:space="preserve">Go if...</w:t></w:r></w:p></w:tc><w:tc><w:tcPr><w:vAlign w:val="top"/><w:shd w:val="clear" w:fill="1B4F72"/></w:tcPr><w:p><w:pPr><w:spacing w:after="20"/></w:pPr><w:r><w:rPr><w:color w:val="FFFFFF"/><w:sz w:val="18"/><w:szCs w:val="18"/><w:b w:val="1"/><w:bCs w:val="1"/></w:rPr><w:t xml:space="preserve">No-go if...</w:t></w:r></w:p></w:tc></w:tr><w:tr><w:trPr/><w:tc><w:tcPr><w:vAlign w:val="top"/></w:tcPr><w:p><w:pPr><w:spacing w:after="20"/></w:pPr><w:r><w:rPr><w:color w:val="333333"/><w:sz w:val="18"/><w:szCs w:val="18"/></w:rPr><w:t xml:space="preserve">**Scope alignment**</w:t></w:r></w:p></w:tc><w:tc><w:tcPr><w:vAlign w:val="top"/></w:tcPr><w:p><w:pPr><w:spacing w:after="20"/></w:pPr><w:r><w:rPr><w:color w:val="333333"/><w:sz w:val="18"/><w:szCs w:val="18"/></w:rPr><w:t xml:space="preserve">Requirements match E-Board capabilities</w:t></w:r></w:p></w:tc><w:tc><w:tcPr><w:vAlign w:val="top"/></w:tcPr><w:p><w:pPr><w:spacing w:after="20"/></w:pPr><w:r><w:rPr><w:color w:val="333333"/><w:sz w:val="18"/><w:szCs w:val="18"/></w:rPr><w:t xml:space="preserve">Core requirements include features E-Board does not have</w:t></w:r></w:p></w:tc></w:tr><w:tr><w:trPr/><w:tc><w:tcPr><w:vAlign w:val="top"/><w:shd w:val="clear" w:fill="F8F9FA"/></w:tcPr><w:p><w:pPr><w:spacing w:after="20"/></w:pPr><w:r><w:rPr><w:color w:val="333333"/><w:sz w:val="18"/><w:szCs w:val="18"/></w:rPr><w:t xml:space="preserve">**Budget alignment**</w:t></w:r></w:p></w:tc><w:tc><w:tcPr><w:vAlign w:val="top"/><w:shd w:val="clear" w:fill="F8F9FA"/></w:tcPr><w:p><w:pPr><w:spacing w:after="20"/></w:pPr><w:r><w:rPr><w:color w:val="333333"/><w:sz w:val="18"/><w:szCs w:val="18"/></w:rPr><w:t xml:space="preserve">Estimated budget is within E-Board pricing</w:t></w:r></w:p></w:tc><w:tc><w:tcPr><w:vAlign w:val="top"/><w:shd w:val="clear" w:fill="F8F9FA"/></w:tcPr><w:p><w:pPr><w:spacing w:after="20"/></w:pPr><w:r><w:rPr><w:color w:val="333333"/><w:sz w:val="18"/><w:szCs w:val="18"/></w:rPr><w:t xml:space="preserve">Budget appears designed for a much cheaper or much more expensive solution</w:t></w:r></w:p></w:tc></w:tr><w:tr><w:trPr/><w:tc><w:tcPr><w:vAlign w:val="top"/></w:tcPr><w:p><w:pPr><w:spacing w:after="20"/></w:pPr><w:r><w:rPr><w:color w:val="333333"/><w:sz w:val="18"/><w:szCs w:val="18"/></w:rPr><w:t xml:space="preserve">**Competition**</w:t></w:r></w:p></w:tc><w:tc><w:tcPr><w:vAlign w:val="top"/></w:tcPr><w:p><w:pPr><w:spacing w:after="20"/></w:pPr><w:r><w:rPr><w:color w:val="333333"/><w:sz w:val="18"/><w:szCs w:val="18"/></w:rPr><w:t xml:space="preserve">Open competition or Losvinca has a relationship</w:t></w:r></w:p></w:tc><w:tc><w:tcPr><w:vAlign w:val="top"/></w:tcPr><w:p><w:pPr><w:spacing w:after="20"/></w:pPr><w:r><w:rPr><w:color w:val="333333"/><w:sz w:val="18"/><w:szCs w:val="18"/></w:rPr><w:t xml:space="preserve">Tender appears tailored for a specific competitor</w:t></w:r></w:p></w:tc></w:tr><w:tr><w:trPr/><w:tc><w:tcPr><w:vAlign w:val="top"/><w:shd w:val="clear" w:fill="F8F9FA"/></w:tcPr><w:p><w:pPr><w:spacing w:after="20"/></w:pPr><w:r><w:rPr><w:color w:val="333333"/><w:sz w:val="18"/><w:szCs w:val="18"/></w:rPr><w:t xml:space="preserve">**Timeline**</w:t></w:r></w:p></w:tc><w:tc><w:tcPr><w:vAlign w:val="top"/><w:shd w:val="clear" w:fill="F8F9FA"/></w:tcPr><w:p><w:pPr><w:spacing w:after="20"/></w:pPr><w:r><w:rPr><w:color w:val="333333"/><w:sz w:val="18"/><w:szCs w:val="18"/></w:rPr><w:t xml:space="preserve">Sufficient time to prepare a quality response</w:t></w:r></w:p></w:tc><w:tc><w:tcPr><w:vAlign w:val="top"/><w:shd w:val="clear" w:fill="F8F9FA"/></w:tcPr><w:p><w:pPr><w:spacing w:after="20"/></w:pPr><w:r><w:rPr><w:color w:val="333333"/><w:sz w:val="18"/><w:szCs w:val="18"/></w:rPr><w:t xml:space="preserve">Submission deadline allows less than 5 working days</w:t></w:r></w:p></w:tc></w:tr><w:tr><w:trPr/><w:tc><w:tcPr><w:vAlign w:val="top"/></w:tcPr><w:p><w:pPr><w:spacing w:after="20"/></w:pPr><w:r><w:rPr><w:color w:val="333333"/><w:sz w:val="18"/><w:szCs w:val="18"/></w:rPr><w:t xml:space="preserve">**Relationship**</w:t></w:r></w:p></w:tc><w:tc><w:tcPr><w:vAlign w:val="top"/></w:tcPr><w:p><w:pPr><w:spacing w:after="20"/></w:pPr><w:r><w:rPr><w:color w:val="333333"/><w:sz w:val="18"/><w:szCs w:val="18"/></w:rPr><w:t xml:space="preserve">Losvinca has engaged with the institution before</w:t></w:r></w:p></w:tc><w:tc><w:tcPr><w:vAlign w:val="top"/></w:tcPr><w:p><w:pPr><w:spacing w:after="20"/></w:pPr><w:r><w:rPr><w:color w:val="333333"/><w:sz w:val="18"/><w:szCs w:val="18"/></w:rPr><w:t xml:space="preserve">No prior contact and no champion inside</w:t></w:r></w:p></w:tc></w:tr><w:tr><w:trPr/><w:tc><w:tcPr><w:vAlign w:val="top"/><w:shd w:val="clear" w:fill="F8F9FA"/></w:tcPr><w:p><w:pPr><w:spacing w:after="20"/></w:pPr><w:r><w:rPr><w:color w:val="333333"/><w:sz w:val="18"/><w:szCs w:val="18"/></w:rPr><w:t xml:space="preserve">**Strategic value**</w:t></w:r></w:p></w:tc><w:tc><w:tcPr><w:vAlign w:val="top"/><w:shd w:val="clear" w:fill="F8F9FA"/></w:tcPr><w:p><w:pPr><w:spacing w:after="20"/></w:pPr><w:r><w:rPr><w:color w:val="333333"/><w:sz w:val="18"/><w:szCs w:val="18"/></w:rPr><w:t xml:space="preserve">Win would open a sector or provide a reference</w:t></w:r></w:p></w:tc><w:tc><w:tcPr><w:vAlign w:val="top"/><w:shd w:val="clear" w:fill="F8F9FA"/></w:tcPr><w:p><w:pPr><w:spacing w:after="20"/></w:pPr><w:r><w:rPr><w:color w:val="333333"/><w:sz w:val="18"/><w:szCs w:val="18"/></w:rPr><w:t xml:space="preserve">One-off opportunity with no strategic value</w:t></w:r></w:p></w:tc></w:tr></w:tbl><w:p><w:pPr><w:pStyle w:val="Normal"/></w:pPr><w:r><w:rPr><w:color w:val="2C3E50"/><w:sz w:val="22"/><w:szCs w:val="22"/><w:b w:val="1"/><w:bCs w:val="1"/></w:rPr><w:t xml:space="preserve">3. Response preparation (allocate minimum 10 working days)</w:t></w:r><w:r><w:rPr><w:color w:val="333333"/><w:sz w:val="22"/><w:szCs w:val="22"/></w:rPr><w:t xml:space="preserve">3. Response preparation (allocate minimum 10 working days)</w:t></w:r></w:p><w:p><w:pPr><w:pStyle w:val="ListBullet"/><w:numPr><w:ilvl w:val="0"/><w:numId w:val="8"/></w:numPr></w:pPr><w:r><w:rPr><w:color w:val="333333"/><w:sz w:val="22"/><w:szCs w:val="22"/></w:rPr><w:t xml:space="preserve">Read the tender document cover to cover. Highlight every mandatory requirement, evaluation criterion, and submission instruction.</w:t></w:r></w:p><w:p><w:pPr><w:pStyle w:val="ListBullet"/><w:numPr><w:ilvl w:val="0"/><w:numId w:val="8"/></w:numPr></w:pPr><w:r><w:rPr><w:color w:val="333333"/><w:sz w:val="22"/><w:szCs w:val="22"/></w:rPr><w:t xml:space="preserve">Prepare a compliance matrix: requirement by requirement, with evidence of compliance.</w:t></w:r></w:p><w:p><w:pPr><w:pStyle w:val="ListBullet"/><w:numPr><w:ilvl w:val="0"/><w:numId w:val="8"/></w:numPr></w:pPr><w:r><w:rPr><w:color w:val="333333"/><w:sz w:val="22"/><w:szCs w:val="22"/></w:rPr><w:t xml:space="preserve">Customise the technical proposal for the specific institution.</w:t></w:r></w:p><w:p><w:pPr><w:pStyle w:val="ListBullet"/><w:numPr><w:ilvl w:val="0"/><w:numId w:val="8"/></w:numPr></w:pPr><w:r><w:rPr><w:color w:val="333333"/><w:sz w:val="22"/><w:szCs w:val="22"/></w:rPr><w:t xml:space="preserve">Prepare the financial proposal in the exact format specified.</w:t></w:r></w:p><w:p><w:pPr><w:pStyle w:val="ListBullet"/><w:numPr><w:ilvl w:val="0"/><w:numId w:val="8"/></w:numPr></w:pPr><w:r><w:rPr><w:color w:val="333333"/><w:sz w:val="22"/><w:szCs w:val="22"/></w:rPr><w:t xml:space="preserve">Prepare all mandatory documents (tax compliance, registration, references, etc.).</w:t></w:r></w:p><w:p><w:pPr><w:pStyle w:val="ListBullet"/><w:numPr><w:ilvl w:val="0"/><w:numId w:val="8"/></w:numPr></w:pPr><w:r><w:rPr><w:color w:val="333333"/><w:sz w:val="22"/><w:szCs w:val="22"/></w:rPr><w:t xml:space="preserve">Have the response reviewed by a second person before submission.</w:t></w:r></w:p><w:p><w:pPr><w:pStyle w:val="ListBullet"/><w:numPr><w:ilvl w:val="0"/><w:numId w:val="8"/></w:numPr></w:pPr><w:r><w:rPr><w:color w:val="333333"/><w:sz w:val="22"/><w:szCs w:val="22"/></w:rPr><w:t xml:space="preserve">Submit physically (if required) with signed, stamped copies, at least 24 hours before the deadline.</w:t></w:r></w:p><w:p><w:pPr><w:pStyle w:val="Normal"/></w:pPr><w:r><w:rPr><w:color w:val="2C3E50"/><w:sz w:val="22"/><w:szCs w:val="22"/><w:b w:val="1"/><w:bCs w:val="1"/></w:rPr><w:t xml:space="preserve">4. Post-submission</w:t></w:r><w:r><w:rPr><w:color w:val="333333"/><w:sz w:val="22"/><w:szCs w:val="22"/></w:rPr><w:t xml:space="preserve">4. Post-submission</w:t></w:r></w:p><w:p><w:pPr><w:pStyle w:val="ListBullet"/><w:numPr><w:ilvl w:val="0"/><w:numId w:val="8"/></w:numPr></w:pPr><w:r><w:rPr><w:color w:val="333333"/><w:sz w:val="22"/><w:szCs w:val="22"/></w:rPr><w:t xml:space="preserve">Attend the tender opening if public.</w:t></w:r></w:p><w:p><w:pPr><w:pStyle w:val="ListBullet"/><w:numPr><w:ilvl w:val="0"/><w:numId w:val="8"/></w:numPr></w:pPr><w:r><w:rPr><w:color w:val="333333"/><w:sz w:val="22"/><w:szCs w:val="22"/></w:rPr><w:t xml:space="preserve">Be prepared for technical evaluation presentations or demonstrations.</w:t></w:r></w:p><w:p><w:pPr><w:pStyle w:val="ListBullet"/><w:numPr><w:ilvl w:val="0"/><w:numId w:val="8"/></w:numPr></w:pPr><w:r><w:rPr><w:color w:val="333333"/><w:sz w:val="22"/><w:szCs w:val="22"/></w:rPr><w:t xml:space="preserve">Respond promptly to any clarification requests.</w:t></w:r></w:p><w:p><w:pPr><w:pStyle w:val="ListBullet"/><w:numPr><w:ilvl w:val="0"/><w:numId w:val="8"/></w:numPr></w:pPr><w:r><w:rPr><w:color w:val="333333"/><w:sz w:val="22"/><w:szCs w:val="22"/></w:rPr><w:t xml:space="preserve">If unsuccessful, request the evaluation report (your right under the Act) to learn and improve.</w:t></w:r></w:p><w:p><w:pPr><w:pStyle w:val="Heading2"/></w:pPr><w:bookmarkStart w:id="21" w:name="_Toc21"/><w:r><w:t>15.7 STRATEGIES THAT DO NOT DEPEND ON TENDERS</w:t></w:r><w:bookmarkEnd w:id="21"/></w:p><w:p><w:pPr><w:pStyle w:val="Normal"/></w:pPr><w:r><w:rPr><w:color w:val="333333"/><w:sz w:val="22"/><w:szCs w:val="22"/></w:rPr><w:t xml:space="preserve">Depending entirely on open tenders is a losing strategy. By the time a tender is published, the institution has often already decided what they want (and sometimes who they want). The following strategies create demand and position E-Board before a tender exists.</w:t></w:r></w:p><w:p><w:pPr><w:pStyle w:val="Heading3"/></w:pPr><w:bookmarkStart w:id="22" w:name="_Toc22"/><w:r><w:t>15.7.1 The Unsolicited Proposal</w:t></w:r><w:bookmarkEnd w:id="22"/></w:p><w:p><w:pPr><w:pStyle w:val="Normal"/></w:pPr><w:r><w:rPr><w:color w:val="333333"/><w:sz w:val="22"/><w:szCs w:val="22"/></w:rPr><w:t xml:space="preserve">Under certain conditions, government entities can procure solutions through restricted or direct procurement methods when the solution is specialised or proprietary. While this should not be Losvinca's primary strategy, it is legitimate when:</w:t></w:r></w:p><w:p><w:pPr><w:pStyle w:val="ListBullet"/><w:numPr><w:ilvl w:val="0"/><w:numId w:val="8"/></w:numPr></w:pPr><w:r><w:rPr><w:color w:val="333333"/><w:sz w:val="22"/><w:szCs w:val="22"/></w:rPr><w:t xml:space="preserve">E-Board offers functionality not available from other local providers</w:t></w:r></w:p><w:p><w:pPr><w:pStyle w:val="ListBullet"/><w:numPr><w:ilvl w:val="0"/><w:numId w:val="8"/></w:numPr></w:pPr><w:r><w:rPr><w:color w:val="333333"/><w:sz w:val="22"/><w:szCs w:val="22"/></w:rPr><w:t xml:space="preserve">The institution has identified a specific governance need that E-Board uniquely addresses</w:t></w:r></w:p><w:p><w:pPr><w:pStyle w:val="ListBullet"/><w:numPr><w:ilvl w:val="0"/><w:numId w:val="8"/></w:numPr></w:pPr><w:r><w:rPr><w:color w:val="333333"/><w:sz w:val="22"/><w:szCs w:val="22"/></w:rPr><w:t xml:space="preserve">The engagement value falls within direct procurement thresholds</w:t></w:r></w:p><w:p><w:pPr><w:pStyle w:val="Normal"/></w:pPr><w:r><w:rPr><w:color w:val="2C3E50"/><w:sz w:val="22"/><w:szCs w:val="22"/><w:b w:val="1"/><w:bCs w:val="1"/></w:rPr><w:t xml:space="preserve">How to support an unsolicited proposal:</w:t></w:r><w:r><w:rPr><w:color w:val="333333"/><w:sz w:val="22"/><w:szCs w:val="22"/></w:rPr><w:t xml:space="preserve">How to support an unsolicited proposal:</w:t></w:r></w:p><w:p><w:pPr><w:pStyle w:val="ListBullet"/><w:numPr><w:ilvl w:val="0"/><w:numId w:val="9"/></w:numPr></w:pPr><w:r><w:rPr><w:color w:val="333333"/><w:sz w:val="22"/><w:szCs w:val="22"/></w:rPr><w:t xml:space="preserve">Help the institution's ICT or governance team draft a needs assessment that documents the specific governance challenges.</w:t></w:r></w:p><w:p><w:pPr><w:pStyle w:val="ListBullet"/><w:numPr><w:ilvl w:val="0"/><w:numId w:val="9"/></w:numPr></w:pPr><w:r><w:rPr><w:color w:val="333333"/><w:sz w:val="22"/><w:szCs w:val="22"/></w:rPr><w:t xml:space="preserve">Provide a technical specification that the institution can use internally.</w:t></w:r></w:p><w:p><w:pPr><w:pStyle w:val="ListBullet"/><w:numPr><w:ilvl w:val="0"/><w:numId w:val="9"/></w:numPr></w:pPr><w:r><w:rPr><w:color w:val="333333"/><w:sz w:val="22"/><w:szCs w:val="22"/></w:rPr><w:t xml:space="preserve">Provide a quotation that the procurement team can evaluate.</w:t></w:r></w:p><w:p><w:pPr><w:pStyle w:val="ListBullet"/><w:numPr><w:ilvl w:val="0"/><w:numId w:val="9"/></w:numPr></w:pPr><w:r><w:rPr><w:color w:val="333333"/><w:sz w:val="22"/><w:szCs w:val="22"/></w:rPr><w:t xml:space="preserve">Let the institution drive the procurement process — do not attempt to influence the procurement committee.</w:t></w:r></w:p><w:p><w:pPr><w:pStyle w:val="Heading3"/></w:pPr><w:bookmarkStart w:id="23" w:name="_Toc23"/><w:r><w:t>15.7.2 Framework Agreements</w:t></w:r><w:bookmarkEnd w:id="23"/></w:p><w:p><w:pPr><w:pStyle w:val="Normal"/></w:pPr><w:r><w:rPr><w:color w:val="333333"/><w:sz w:val="22"/><w:szCs w:val="22"/></w:rPr><w:t xml:space="preserve">Pursue framework agreements or panel arrangements with:</w:t></w:r></w:p><w:p><w:pPr><w:pStyle w:val="ListBullet"/><w:numPr><w:ilvl w:val="0"/><w:numId w:val="8"/></w:numPr></w:pPr><w:r><w:rPr><w:color w:val="2C3E50"/><w:sz w:val="22"/><w:szCs w:val="22"/><w:b w:val="1"/><w:bCs w:val="1"/></w:rPr><w:t xml:space="preserve">ICT Authority</w:t></w:r><w:r><w:rPr><w:color w:val="333333"/><w:sz w:val="22"/><w:szCs w:val="22"/></w:rPr><w:t xml:space="preserve">ICT Authority</w:t></w:r><w:r><w:rPr><w:color w:val="333333"/><w:sz w:val="22"/><w:szCs w:val="22"/></w:rPr><w:t xml:space="preserve"> — for government-wide technology procurement</w:t></w:r></w:p><w:p><w:pPr><w:pStyle w:val="ListBullet"/><w:numPr><w:ilvl w:val="0"/><w:numId w:val="8"/></w:numPr></w:pPr><w:r><w:rPr><w:color w:val="2C3E50"/><w:sz w:val="22"/><w:szCs w:val="22"/><w:b w:val="1"/><w:bCs w:val="1"/></w:rPr><w:t xml:space="preserve">State Corporations Advisory Committee (SCAC)</w:t></w:r><w:r><w:rPr><w:color w:val="333333"/><w:sz w:val="22"/><w:szCs w:val="22"/></w:rPr><w:t xml:space="preserve">State Corporations Advisory Committee (SCAC)</w:t></w:r><w:r><w:rPr><w:color w:val="333333"/><w:sz w:val="22"/><w:szCs w:val="22"/></w:rPr><w:t xml:space="preserve"> — for state corporation technology needs</w:t></w:r></w:p><w:p><w:pPr><w:pStyle w:val="ListBullet"/><w:numPr><w:ilvl w:val="0"/><w:numId w:val="8"/></w:numPr></w:pPr><w:r><w:rPr><w:color w:val="2C3E50"/><w:sz w:val="22"/><w:szCs w:val="22"/><w:b w:val="1"/><w:bCs w:val="1"/></w:rPr><w:t xml:space="preserve">Council of Governors</w:t></w:r><w:r><w:rPr><w:color w:val="333333"/><w:sz w:val="22"/><w:szCs w:val="22"/></w:rPr><w:t xml:space="preserve">Council of Governors</w:t></w:r><w:r><w:rPr><w:color w:val="333333"/><w:sz w:val="22"/><w:szCs w:val="22"/></w:rPr><w:t xml:space="preserve"> — for county government technology needs</w:t></w:r></w:p><w:p><w:pPr><w:pStyle w:val="Normal"/></w:pPr><w:r><w:rPr><w:color w:val="333333"/><w:sz w:val="22"/><w:szCs w:val="22"/></w:rPr><w:t xml:space="preserve">A framework agreement means institutions can call off services from Losvinca without running individual tenders for each engagement.</w:t></w:r></w:p><w:p><w:pPr><w:pStyle w:val="Normal"/></w:pPr><w:r><w:rPr><w:color w:val="333333"/><w:sz w:val="22"/><w:szCs w:val="22"/></w:rPr><w:t xml:space="preserve">[REQUIRES LOSVINCA INPUT — research current framework agreement opportunities]</w:t></w:r></w:p><w:p><w:pPr><w:pStyle w:val="Heading3"/></w:pPr><w:bookmarkStart w:id="24" w:name="_Toc24"/><w:r><w:t>15.7.3 The Pilot Pathway</w:t></w:r><w:bookmarkEnd w:id="24"/></w:p><w:p><w:pPr><w:pStyle w:val="Normal"/></w:pPr><w:r><w:rPr><w:color w:val="333333"/><w:sz w:val="22"/><w:szCs w:val="22"/></w:rPr><w:t xml:space="preserve">Pilots are powerful because:</w:t></w:r></w:p><w:p><w:pPr><w:pStyle w:val="ListBullet"/><w:numPr><w:ilvl w:val="0"/><w:numId w:val="9"/></w:numPr></w:pPr><w:r><w:rPr><w:color w:val="333333"/><w:sz w:val="22"/><w:szCs w:val="22"/></w:rPr><w:t xml:space="preserve">They fall within direct procurement thresholds (KES 75,000 per Part 14)</w:t></w:r></w:p><w:p><w:pPr><w:pStyle w:val="ListBullet"/><w:numPr><w:ilvl w:val="0"/><w:numId w:val="9"/></w:numPr></w:pPr><w:r><w:rPr><w:color w:val="333333"/><w:sz w:val="22"/><w:szCs w:val="22"/></w:rPr><w:t xml:space="preserve">They generate internal champions who have used the system</w:t></w:r></w:p><w:p><w:pPr><w:pStyle w:val="ListBullet"/><w:numPr><w:ilvl w:val="0"/><w:numId w:val="9"/></w:numPr></w:pPr><w:r><w:rPr><w:color w:val="333333"/><w:sz w:val="22"/><w:szCs w:val="22"/></w:rPr><w:t xml:space="preserve">They create switching costs — once board data is in E-Board, migration elsewhere is painful</w:t></w:r></w:p><w:p><w:pPr><w:pStyle w:val="ListBullet"/><w:numPr><w:ilvl w:val="0"/><w:numId w:val="9"/></w:numPr></w:pPr><w:r><w:rPr><w:color w:val="333333"/><w:sz w:val="22"/><w:szCs w:val="22"/></w:rPr><w:t xml:space="preserve">They provide evidence for a full procurement case</w:t></w:r></w:p><w:p><w:pPr><w:pStyle w:val="Normal"/></w:pPr><w:r><w:rPr><w:color w:val="2C3E50"/><w:sz w:val="22"/><w:szCs w:val="22"/><w:b w:val="1"/><w:bCs w:val="1"/></w:rPr><w:t xml:space="preserve">Pilot rules for government institutions:</w:t></w:r><w:r><w:rPr><w:color w:val="333333"/><w:sz w:val="22"/><w:szCs w:val="22"/></w:rPr><w:t xml:space="preserve">Pilot rules for government institutions:</w:t></w:r></w:p><w:p><w:pPr><w:pStyle w:val="ListBullet"/><w:numPr><w:ilvl w:val="0"/><w:numId w:val="8"/></w:numPr></w:pPr><w:r><w:rPr><w:color w:val="333333"/><w:sz w:val="22"/><w:szCs w:val="22"/></w:rPr><w:t xml:space="preserve">Always process through proper procurement (LPO required)</w:t></w:r></w:p><w:p><w:pPr><w:pStyle w:val="ListBullet"/><w:numPr><w:ilvl w:val="0"/><w:numId w:val="8"/></w:numPr></w:pPr><w:r><w:rPr><w:color w:val="333333"/><w:sz w:val="22"/><w:szCs w:val="22"/></w:rPr><w:t xml:space="preserve">Document the pilot scope, timeline, and success criteria</w:t></w:r></w:p><w:p><w:pPr><w:pStyle w:val="ListBullet"/><w:numPr><w:ilvl w:val="0"/><w:numId w:val="8"/></w:numPr></w:pPr><w:r><w:rPr><w:color w:val="333333"/><w:sz w:val="22"/><w:szCs w:val="22"/></w:rPr><w:t xml:space="preserve">Provide a formal pilot report at conclusion</w:t></w:r></w:p><w:p><w:pPr><w:pStyle w:val="ListBullet"/><w:numPr><w:ilvl w:val="0"/><w:numId w:val="8"/></w:numPr></w:pPr><w:r><w:rPr><w:color w:val="333333"/><w:sz w:val="22"/><w:szCs w:val="22"/></w:rPr><w:t xml:space="preserve">Never offer a "free" pilot — this can be perceived as inducement</w:t></w:r></w:p><w:p><w:pPr><w:pStyle w:val="ListBullet"/><w:numPr><w:ilvl w:val="0"/><w:numId w:val="8"/></w:numPr></w:pPr><w:r><w:rPr><w:color w:val="333333"/><w:sz w:val="22"/><w:szCs w:val="22"/></w:rPr><w:t xml:space="preserve">Ensure the pilot is substantive (90 days, real board meetings, real data)</w:t></w:r></w:p><w:p><w:pPr><w:pStyle w:val="Heading3"/></w:pPr><w:bookmarkStart w:id="25" w:name="_Toc25"/><w:r><w:t>15.7.4 Sector Penetration Strategy</w:t></w:r><w:bookmarkEnd w:id="25"/></w:p><w:p><w:pPr><w:pStyle w:val="Normal"/></w:pPr><w:r><w:rPr><w:color w:val="333333"/><w:sz w:val="22"/><w:szCs w:val="22"/></w:rPr><w:t xml:space="preserve">Government institutions talk to each other. A successful deployment at one institution creates organic demand across the sector.</w:t></w:r></w:p><w:p><w:pPr><w:pStyle w:val="Normal"/></w:pPr><w:r><w:rPr><w:color w:val="2C3E50"/><w:sz w:val="22"/><w:szCs w:val="22"/><w:b w:val="1"/><w:bCs w:val="1"/></w:rPr><w:t xml:space="preserve">Priority sectors for initial penetration:</w:t></w:r><w:r><w:rPr><w:color w:val="333333"/><w:sz w:val="22"/><w:szCs w:val="22"/></w:rPr><w:t xml:space="preserve">Priority sectors for initial penetration:</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Sector</w:t></w:r></w:p></w:tc><w:tc><w:tcPr><w:vAlign w:val="top"/><w:shd w:val="clear" w:fill="1B4F72"/></w:tcPr><w:p><w:pPr><w:spacing w:after="20"/></w:pPr><w:r><w:rPr><w:color w:val="FFFFFF"/><w:sz w:val="18"/><w:szCs w:val="18"/><w:b w:val="1"/><w:bCs w:val="1"/></w:rPr><w:t xml:space="preserve">Example Institutions</w:t></w:r></w:p></w:tc><w:tc><w:tcPr><w:vAlign w:val="top"/><w:shd w:val="clear" w:fill="1B4F72"/></w:tcPr><w:p><w:pPr><w:spacing w:after="20"/></w:pPr><w:r><w:rPr><w:color w:val="FFFFFF"/><w:sz w:val="18"/><w:szCs w:val="18"/><w:b w:val="1"/><w:bCs w:val="1"/></w:rPr><w:t xml:space="preserve">Why Start Here</w:t></w:r></w:p></w:tc></w:tr><w:tr><w:trPr/><w:tc><w:tcPr><w:vAlign w:val="top"/></w:tcPr><w:p><w:pPr><w:spacing w:after="20"/></w:pPr><w:r><w:rPr><w:color w:val="333333"/><w:sz w:val="18"/><w:szCs w:val="18"/></w:rPr><w:t xml:space="preserve">**Water sector**</w:t></w:r></w:p></w:tc><w:tc><w:tcPr><w:vAlign w:val="top"/></w:tcPr><w:p><w:pPr><w:spacing w:after="20"/></w:pPr><w:r><w:rPr><w:color w:val="333333"/><w:sz w:val="18"/><w:szCs w:val="18"/></w:rPr><w:t xml:space="preserve">Water Services Regulatory Board, County water companies</w:t></w:r></w:p></w:tc><w:tc><w:tcPr><w:vAlign w:val="top"/></w:tcPr><w:p><w:pPr><w:spacing w:after="20"/></w:pPr><w:r><w:rPr><w:color w:val="333333"/><w:sz w:val="18"/><w:szCs w:val="18"/></w:rPr><w:t xml:space="preserve">Many entities, similar governance structure, relatively accessible procurement</w:t></w:r></w:p></w:tc></w:tr><w:tr><w:trPr/><w:tc><w:tcPr><w:vAlign w:val="top"/><w:shd w:val="clear" w:fill="F8F9FA"/></w:tcPr><w:p><w:pPr><w:spacing w:after="20"/></w:pPr><w:r><w:rPr><w:color w:val="333333"/><w:sz w:val="18"/><w:szCs w:val="18"/></w:rPr><w:t xml:space="preserve">**University sector**</w:t></w:r></w:p></w:tc><w:tc><w:tcPr><w:vAlign w:val="top"/><w:shd w:val="clear" w:fill="F8F9FA"/></w:tcPr><w:p><w:pPr><w:spacing w:after="20"/></w:pPr><w:r><w:rPr><w:color w:val="333333"/><w:sz w:val="18"/><w:szCs w:val="18"/></w:rPr><w:t xml:space="preserve">Public universities</w:t></w:r></w:p></w:tc><w:tc><w:tcPr><w:vAlign w:val="top"/><w:shd w:val="clear" w:fill="F8F9FA"/></w:tcPr><w:p><w:pPr><w:spacing w:after="20"/></w:pPr><w:r><w:rPr><w:color w:val="333333"/><w:sz w:val="18"/><w:szCs w:val="18"/></w:rPr><w:t xml:space="preserve">Active boards, corporation secretaries, governance reform pressure</w:t></w:r></w:p></w:tc></w:tr><w:tr><w:trPr/><w:tc><w:tcPr><w:vAlign w:val="top"/></w:tcPr><w:p><w:pPr><w:spacing w:after="20"/></w:pPr><w:r><w:rPr><w:color w:val="333333"/><w:sz w:val="18"/><w:szCs w:val="18"/></w:rPr><w:t xml:space="preserve">**Regulatory authorities**</w:t></w:r></w:p></w:tc><w:tc><w:tcPr><w:vAlign w:val="top"/></w:tcPr><w:p><w:pPr><w:spacing w:after="20"/></w:pPr><w:r><w:rPr><w:color w:val="333333"/><w:sz w:val="18"/><w:szCs w:val="18"/></w:rPr><w:t xml:space="preserve">CMA, IRA, RBA, ERC</w:t></w:r></w:p></w:tc><w:tc><w:tcPr><w:vAlign w:val="top"/></w:tcPr><w:p><w:pPr><w:spacing w:after="20"/></w:pPr><w:r><w:rPr><w:color w:val="333333"/><w:sz w:val="18"/><w:szCs w:val="18"/></w:rPr><w:t xml:space="preserve">Strong governance requirements, Mwongozo compliance pressure, visible institutions</w:t></w:r></w:p></w:tc></w:tr><w:tr><w:trPr/><w:tc><w:tcPr><w:vAlign w:val="top"/><w:shd w:val="clear" w:fill="F8F9FA"/></w:tcPr><w:p><w:pPr><w:spacing w:after="20"/></w:pPr><w:r><w:rPr><w:color w:val="333333"/><w:sz w:val="18"/><w:szCs w:val="18"/></w:rPr><w:t xml:space="preserve">**County governments**</w:t></w:r></w:p></w:tc><w:tc><w:tcPr><w:vAlign w:val="top"/><w:shd w:val="clear" w:fill="F8F9FA"/></w:tcPr><w:p><w:pPr><w:spacing w:after="20"/></w:pPr><w:r><w:rPr><w:color w:val="333333"/><w:sz w:val="18"/><w:szCs w:val="18"/></w:rPr><w:t xml:space="preserve">County assemblies, county corporations</w:t></w:r></w:p></w:tc><w:tc><w:tcPr><w:vAlign w:val="top"/><w:shd w:val="clear" w:fill="F8F9FA"/></w:tcPr><w:p><w:pPr><w:spacing w:after="20"/></w:pPr><w:r><w:rPr><w:color w:val="333333"/><w:sz w:val="18"/><w:szCs w:val="18"/></w:rPr><w:t xml:space="preserve">47 counties = 47 potential clients with similar needs</w:t></w:r></w:p></w:tc></w:tr><w:tr><w:trPr/><w:tc><w:tcPr><w:vAlign w:val="top"/></w:tcPr><w:p><w:pPr><w:spacing w:after="20"/></w:pPr><w:r><w:rPr><w:color w:val="333333"/><w:sz w:val="18"/><w:szCs w:val="18"/></w:rPr><w:t xml:space="preserve">**Health sector**</w:t></w:r></w:p></w:tc><w:tc><w:tcPr><w:vAlign w:val="top"/></w:tcPr><w:p><w:pPr><w:spacing w:after="20"/></w:pPr><w:r><w:rPr><w:color w:val="333333"/><w:sz w:val="18"/><w:szCs w:val="18"/></w:rPr><w:t xml:space="preserve">KMPDC, Pharmacy & Poisons Board, public hospitals (Level 5/6)</w:t></w:r></w:p></w:tc><w:tc><w:tcPr><w:vAlign w:val="top"/></w:tcPr><w:p><w:pPr><w:spacing w:after="20"/></w:pPr><w:r><w:rPr><w:color w:val="333333"/><w:sz w:val="18"/><w:szCs w:val="18"/></w:rPr><w:t xml:space="preserve">Complex governance, multiple boards/committees</w:t></w:r></w:p></w:tc></w:tr></w:tbl><w:p><w:pPr><w:pStyle w:val="Normal"/></w:pPr><w:r><w:rPr><w:color w:val="2C3E50"/><w:sz w:val="22"/><w:szCs w:val="22"/><w:b w:val="1"/><w:bCs w:val="1"/></w:rPr><w:t xml:space="preserve">The sector strategy:</w:t></w:r><w:r><w:rPr><w:color w:val="333333"/><w:sz w:val="22"/><w:szCs w:val="22"/></w:rPr><w:t xml:space="preserve">The sector strategy:</w:t></w:r></w:p><w:p><w:pPr><w:pStyle w:val="ListBullet"/><w:numPr><w:ilvl w:val="0"/><w:numId w:val="9"/></w:numPr></w:pPr><w:r><w:rPr><w:color w:val="333333"/><w:sz w:val="22"/><w:szCs w:val="22"/></w:rPr><w:t xml:space="preserve">Win one institution in the sector.</w:t></w:r></w:p><w:p><w:pPr><w:pStyle w:val="ListBullet"/><w:numPr><w:ilvl w:val="0"/><w:numId w:val="9"/></w:numPr></w:pPr><w:r><w:rPr><w:color w:val="333333"/><w:sz w:val="22"/><w:szCs w:val="22"/></w:rPr><w:t xml:space="preserve">Deliver an excellent deployment — on time, within budget, with visible impact.</w:t></w:r></w:p><w:p><w:pPr><w:pStyle w:val="ListBullet"/><w:numPr><w:ilvl w:val="0"/><w:numId w:val="9"/></w:numPr></w:pPr><w:r><w:rPr><w:color w:val="333333"/><w:sz w:val="22"/><w:szCs w:val="22"/></w:rPr><w:t xml:space="preserve">Request a reference letter and permission to use as a case study.</w:t></w:r></w:p><w:p><w:pPr><w:pStyle w:val="ListBullet"/><w:numPr><w:ilvl w:val="0"/><w:numId w:val="9"/></w:numPr></w:pPr><w:r><w:rPr><w:color w:val="333333"/><w:sz w:val="22"/><w:szCs w:val="22"/></w:rPr><w:t xml:space="preserve">Approach peer institutions: "Your colleagues at [Institution X] have implemented E-Board. Here is what they achieved..."</w:t></w:r></w:p><w:p><w:pPr><w:pStyle w:val="ListBullet"/><w:numPr><w:ilvl w:val="0"/><w:numId w:val="9"/></w:numPr></w:pPr><w:r><w:rPr><w:color w:val="333333"/><w:sz w:val="22"/><w:szCs w:val="22"/></w:rPr><w:t xml:space="preserve">Seek a sector-wide framework agreement.</w:t></w:r></w:p><w:p><w:pPr><w:pStyle w:val="ListBullet"/><w:numPr><w:ilvl w:val="0"/><w:numId w:val="9"/></w:numPr></w:pPr><w:r><w:rPr><w:color w:val="333333"/><w:sz w:val="22"/><w:szCs w:val="22"/></w:rPr><w:t xml:space="preserve">Repeat in the next sector.</w:t></w:r></w:p><w:p><w:pPr><w:pStyle w:val="Heading3"/></w:pPr><w:bookmarkStart w:id="26" w:name="_Toc26"/><w:r><w:t>15.7.5 The ICT Consultant Channel</w:t></w:r><w:bookmarkEnd w:id="26"/></w:p><w:p><w:pPr><w:pStyle w:val="Normal"/></w:pPr><w:r><w:rPr><w:color w:val="333333"/><w:sz w:val="22"/><w:szCs w:val="22"/></w:rPr><w:t xml:space="preserve">Many government institutions hire ICT consultants to advise on technology procurement. These consultants often draft the technical specifications and evaluation criteria. Build relationships with ICT consultants who serve government institutions:</w:t></w:r></w:p><w:p><w:pPr><w:pStyle w:val="ListBullet"/><w:numPr><w:ilvl w:val="0"/><w:numId w:val="8"/></w:numPr></w:pPr><w:r><w:rPr><w:color w:val="333333"/><w:sz w:val="22"/><w:szCs w:val="22"/></w:rPr><w:t xml:space="preserve">Ensure they understand E-Board's capabilities</w:t></w:r></w:p><w:p><w:pPr><w:pStyle w:val="ListBullet"/><w:numPr><w:ilvl w:val="0"/><w:numId w:val="8"/></w:numPr></w:pPr><w:r><w:rPr><w:color w:val="333333"/><w:sz w:val="22"/><w:szCs w:val="22"/></w:rPr><w:t xml:space="preserve">Provide technical documentation they can reference</w:t></w:r></w:p><w:p><w:pPr><w:pStyle w:val="ListBullet"/><w:numPr><w:ilvl w:val="0"/><w:numId w:val="8"/></w:numPr></w:pPr><w:r><w:rPr><w:color w:val="333333"/><w:sz w:val="22"/><w:szCs w:val="22"/></w:rPr><w:t xml:space="preserve">Offer them a demonstration</w:t></w:r></w:p><w:p><w:pPr><w:pStyle w:val="ListBullet"/><w:numPr><w:ilvl w:val="0"/><w:numId w:val="8"/></w:numPr></w:pPr><w:r><w:rPr><w:color w:val="333333"/><w:sz w:val="22"/><w:szCs w:val="22"/></w:rPr><w:t xml:space="preserve">Consider a referral arrangement (see Part 17)</w:t></w:r></w:p><w:p><w:pPr><w:pStyle w:val="Normal"/></w:pPr><w:r><w:rPr><w:color w:val="333333"/><w:sz w:val="22"/><w:szCs w:val="22"/></w:rPr><w:t xml:space="preserve">When a consultant writes a specification for "board management software," E-Board should be the product they have in mind.</w:t></w:r></w:p><w:p><w:pPr><w:pStyle w:val="Heading2"/></w:pPr><w:bookmarkStart w:id="27" w:name="_Toc27"/><w:r><w:t>15.8 CREATING LEGITIMATE INTERNAL DEMAND</w:t></w:r><w:bookmarkEnd w:id="27"/></w:p><w:p><w:pPr><w:pStyle w:val="Normal"/></w:pPr><w:r><w:rPr><w:color w:val="333333"/><w:sz w:val="22"/><w:szCs w:val="22"/></w:rPr><w:t xml:space="preserve">The most effective procurement strategy is not about procurement at all — it is about making the institution want E-Board so much that procurement becomes a formality.</w:t></w:r></w:p><w:p><w:pPr><w:pStyle w:val="Heading3"/></w:pPr><w:bookmarkStart w:id="28" w:name="_Toc28"/><w:r><w:t>15.8.1 Pain Point Amplification</w:t></w:r><w:bookmarkEnd w:id="28"/></w:p><w:p><w:pPr><w:pStyle w:val="Normal"/></w:pPr><w:r><w:rPr><w:color w:val="333333"/><w:sz w:val="22"/><w:szCs w:val="22"/></w:rPr><w:t xml:space="preserve">Every institution using paper-based or manual board governance experiences these pain points. Help them articulate them:</w:t></w:r></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Pain Point</w:t></w:r></w:p></w:tc><w:tc><w:tcPr><w:vAlign w:val="top"/><w:shd w:val="clear" w:fill="1B4F72"/></w:tcPr><w:p><w:pPr><w:spacing w:after="20"/></w:pPr><w:r><w:rPr><w:color w:val="FFFFFF"/><w:sz w:val="18"/><w:szCs w:val="18"/><w:b w:val="1"/><w:bCs w:val="1"/></w:rPr><w:t xml:space="preserve">Amplification Question</w:t></w:r></w:p></w:tc></w:tr><w:tr><w:trPr/><w:tc><w:tcPr><w:vAlign w:val="top"/></w:tcPr><w:p><w:pPr><w:spacing w:after="20"/></w:pPr><w:r><w:rPr><w:color w:val="333333"/><w:sz w:val="18"/><w:szCs w:val="18"/></w:rPr><w:t xml:space="preserve">Printing costs</w:t></w:r></w:p></w:tc><w:tc><w:tcPr><w:vAlign w:val="top"/></w:tcPr><w:p><w:pPr><w:spacing w:after="20"/></w:pPr><w:r><w:rPr><w:color w:val="333333"/><w:sz w:val="18"/><w:szCs w:val="18"/></w:rPr><w:t xml:space="preserve">"How much does your institution spend annually on printing board papers? What is the cost per board meeting?"</w:t></w:r></w:p></w:tc></w:tr><w:tr><w:trPr/><w:tc><w:tcPr><w:vAlign w:val="top"/><w:shd w:val="clear" w:fill="F8F9FA"/></w:tcPr><w:p><w:pPr><w:spacing w:after="20"/></w:pPr><w:r><w:rPr><w:color w:val="333333"/><w:sz w:val="18"/><w:szCs w:val="18"/></w:rPr><w:t xml:space="preserve">Document security</w:t></w:r></w:p></w:tc><w:tc><w:tcPr><w:vAlign w:val="top"/><w:shd w:val="clear" w:fill="F8F9FA"/></w:tcPr><w:p><w:pPr><w:spacing w:after="20"/></w:pPr><w:r><w:rPr><w:color w:val="333333"/><w:sz w:val="18"/><w:szCs w:val="18"/></w:rPr><w:t xml:space="preserve">"How do you ensure that confidential board papers are not leaked or retained after a meeting?"</w:t></w:r></w:p></w:tc></w:tr><w:tr><w:trPr/><w:tc><w:tcPr><w:vAlign w:val="top"/></w:tcPr><w:p><w:pPr><w:spacing w:after="20"/></w:pPr><w:r><w:rPr><w:color w:val="333333"/><w:sz w:val="18"/><w:szCs w:val="18"/></w:rPr><w:t xml:space="preserve">Notice compliance</w:t></w:r></w:p></w:tc><w:tc><w:tcPr><w:vAlign w:val="top"/></w:tcPr><w:p><w:pPr><w:spacing w:after="20"/></w:pPr><w:r><w:rPr><w:color w:val="333333"/><w:sz w:val="18"/><w:szCs w:val="18"/></w:rPr><w:t xml:space="preserve">"Can you demonstrate to an auditor that you provided 10 days' notice for every board meeting this year?"</w:t></w:r></w:p></w:tc></w:tr><w:tr><w:trPr/><w:tc><w:tcPr><w:vAlign w:val="top"/><w:shd w:val="clear" w:fill="F8F9FA"/></w:tcPr><w:p><w:pPr><w:spacing w:after="20"/></w:pPr><w:r><w:rPr><w:color w:val="333333"/><w:sz w:val="18"/><w:szCs w:val="18"/></w:rPr><w:t xml:space="preserve">Conflict of interest</w:t></w:r></w:p></w:tc><w:tc><w:tcPr><w:vAlign w:val="top"/><w:shd w:val="clear" w:fill="F8F9FA"/></w:tcPr><w:p><w:pPr><w:spacing w:after="20"/></w:pPr><w:r><w:rPr><w:color w:val="333333"/><w:sz w:val="18"/><w:szCs w:val="18"/></w:rPr><w:t xml:space="preserve">"Do you have a complete, verified register of conflict of interest declarations? How would you produce it for an investigation?"</w:t></w:r></w:p></w:tc></w:tr><w:tr><w:trPr/><w:tc><w:tcPr><w:vAlign w:val="top"/></w:tcPr><w:p><w:pPr><w:spacing w:after="20"/></w:pPr><w:r><w:rPr><w:color w:val="333333"/><w:sz w:val="18"/><w:szCs w:val="18"/></w:rPr><w:t xml:space="preserve">Audit findings</w:t></w:r></w:p></w:tc><w:tc><w:tcPr><w:vAlign w:val="top"/></w:tcPr><w:p><w:pPr><w:spacing w:after="20"/></w:pPr><w:r><w:rPr><w:color w:val="333333"/><w:sz w:val="18"/><w:szCs w:val="18"/></w:rPr><w:t xml:space="preserve">"Has your institution received any audit findings related to board governance? How did you address them?"</w:t></w:r></w:p></w:tc></w:tr><w:tr><w:trPr/><w:tc><w:tcPr><w:vAlign w:val="top"/><w:shd w:val="clear" w:fill="F8F9FA"/></w:tcPr><w:p><w:pPr><w:spacing w:after="20"/></w:pPr><w:r><w:rPr><w:color w:val="333333"/><w:sz w:val="18"/><w:szCs w:val="18"/></w:rPr><w:t xml:space="preserve">Business continuity</w:t></w:r></w:p></w:tc><w:tc><w:tcPr><w:vAlign w:val="top"/><w:shd w:val="clear" w:fill="F8F9FA"/></w:tcPr><w:p><w:pPr><w:spacing w:after="20"/></w:pPr><w:r><w:rPr><w:color w:val="333333"/><w:sz w:val="18"/><w:szCs w:val="18"/></w:rPr><w:t xml:space="preserve">"If your Corporation Secretary were unavailable for three months, could the institution continue its board governance without interruption?"</w:t></w:r></w:p></w:tc></w:tr><w:tr><w:trPr/><w:tc><w:tcPr><w:vAlign w:val="top"/></w:tcPr><w:p><w:pPr><w:spacing w:after="20"/></w:pPr><w:r><w:rPr><w:color w:val="333333"/><w:sz w:val="18"/><w:szCs w:val="18"/></w:rPr><w:t xml:space="preserve">Board member access</w:t></w:r></w:p></w:tc><w:tc><w:tcPr><w:vAlign w:val="top"/></w:tcPr><w:p><w:pPr><w:spacing w:after="20"/></w:pPr><w:r><w:rPr><w:color w:val="333333"/><w:sz w:val="18"/><w:szCs w:val="18"/></w:rPr><w:t xml:space="preserve">"How do board members currently access their papers when travelling? Before meetings? Between meetings?"</w:t></w:r></w:p></w:tc></w:tr></w:tbl><w:p><w:pPr><w:pStyle w:val="Heading3"/></w:pPr><w:bookmarkStart w:id="29" w:name="_Toc29"/><w:r><w:t>15.8.2 Regulatory Pressure Points</w:t></w:r><w:bookmarkEnd w:id="29"/></w:p><w:p><w:pPr><w:pStyle w:val="ListBullet"/><w:numPr><w:ilvl w:val="0"/><w:numId w:val="8"/></w:numPr></w:pPr><w:r><w:rPr><w:color w:val="2C3E50"/><w:sz w:val="22"/><w:szCs w:val="22"/><w:b w:val="1"/><w:bCs w:val="1"/></w:rPr><w:t xml:space="preserve">Mwongozo compliance reviews:</w:t></w:r><w:r><w:rPr><w:color w:val="333333"/><w:sz w:val="22"/><w:szCs w:val="22"/></w:rPr><w:t xml:space="preserve">Mwongozo compliance reviews:</w:t></w:r><w:r><w:rPr><w:color w:val="333333"/><w:sz w:val="22"/><w:szCs w:val="22"/></w:rPr><w:t xml:space="preserve"> When SCAC or the parent ministry conducts governance compliance reviews, institutions scramble to demonstrate compliance. E-Board makes compliance demonstrable.</w:t></w:r></w:p><w:p><w:pPr><w:pStyle w:val="ListBullet"/><w:numPr><w:ilvl w:val="0"/><w:numId w:val="8"/></w:numPr></w:pPr><w:r><w:rPr><w:color w:val="2C3E50"/><w:sz w:val="22"/><w:szCs w:val="22"/><w:b w:val="1"/><w:bCs w:val="1"/></w:rPr><w:t xml:space="preserve">Auditor General findings:</w:t></w:r><w:r><w:rPr><w:color w:val="333333"/><w:sz w:val="22"/><w:szCs w:val="22"/></w:rPr><w:t xml:space="preserve">Auditor General findings:</w:t></w:r><w:r><w:rPr><w:color w:val="333333"/><w:sz w:val="22"/><w:szCs w:val="22"/></w:rPr><w:t xml:space="preserve"> Audit reports frequently cite governance weaknesses. E-Board directly addresses these.</w:t></w:r></w:p><w:p><w:pPr><w:pStyle w:val="ListBullet"/><w:numPr><w:ilvl w:val="0"/><w:numId w:val="8"/></w:numPr></w:pPr><w:r><w:rPr><w:color w:val="2C3E50"/><w:sz w:val="22"/><w:szCs w:val="22"/><w:b w:val="1"/><w:bCs w:val="1"/></w:rPr><w:t xml:space="preserve">Board evaluations and assessments:</w:t></w:r><w:r><w:rPr><w:color w:val="333333"/><w:sz w:val="22"/><w:szCs w:val="22"/></w:rPr><w:t xml:space="preserve">Board evaluations and assessments:</w:t></w:r><w:r><w:rPr><w:color w:val="333333"/><w:sz w:val="22"/><w:szCs w:val="22"/></w:rPr><w:t xml:space="preserve"> When governance consultants assess board effectiveness, institutions that use digital platforms score significantly higher.</w:t></w:r></w:p><w:p><w:pPr><w:pStyle w:val="ListBullet"/><w:numPr><w:ilvl w:val="0"/><w:numId w:val="8"/></w:numPr></w:pPr><w:r><w:rPr><w:color w:val="2C3E50"/><w:sz w:val="22"/><w:szCs w:val="22"/><w:b w:val="1"/><w:bCs w:val="1"/></w:rPr><w:t xml:space="preserve">New board appointments:</w:t></w:r><w:r><w:rPr><w:color w:val="333333"/><w:sz w:val="22"/><w:szCs w:val="22"/></w:rPr><w:t xml:space="preserve">New board appointments:</w:t></w:r><w:r><w:rPr><w:color w:val="333333"/><w:sz w:val="22"/><w:szCs w:val="22"/></w:rPr><w:t xml:space="preserve"> When a new board is constituted, there is a window of openness to new governance tools.</w:t></w:r></w:p><w:p><w:pPr><w:pStyle w:val="Heading3"/></w:pPr><w:bookmarkStart w:id="30" w:name="_Toc30"/><w:r><w:t>15.8.3 Peer Pressure and Benchmarking</w:t></w:r><w:bookmarkEnd w:id="30"/></w:p><w:p><w:pPr><w:pStyle w:val="Normal"/></w:pPr><w:r><w:rPr><w:color w:val="333333"/><w:sz w:val="22"/><w:szCs w:val="22"/></w:rPr><w:t xml:space="preserve">Government executives are influenced by what peer institutions are doing. Use this ethically:</w:t></w:r></w:p><w:p><w:pPr><w:pStyle w:val="ListBullet"/><w:numPr><w:ilvl w:val="0"/><w:numId w:val="8"/></w:numPr></w:pPr><w:r><w:rPr><w:color w:val="333333"/><w:sz w:val="22"/><w:szCs w:val="22"/></w:rPr><w:t xml:space="preserve">Share (anonymised if necessary) examples of institutions that have modernised their board governance.</w:t></w:r></w:p><w:p><w:pPr><w:pStyle w:val="ListBullet"/><w:numPr><w:ilvl w:val="0"/><w:numId w:val="8"/></w:numPr></w:pPr><w:r><w:rPr><w:color w:val="333333"/><w:sz w:val="22"/><w:szCs w:val="22"/></w:rPr><w:t xml:space="preserve">Reference international best practices in digital governance.</w:t></w:r></w:p><w:p><w:pPr><w:pStyle w:val="ListBullet"/><w:numPr><w:ilvl w:val="0"/><w:numId w:val="8"/></w:numPr></w:pPr><w:r><w:rPr><w:color w:val="333333"/><w:sz w:val="22"/><w:szCs w:val="22"/></w:rPr><w:t xml:space="preserve">Position E-Board adoption as a mark of institutional modernity and leadership.</w:t></w:r></w:p><w:p><w:pPr><w:pStyle w:val="Heading2"/></w:pPr><w:bookmarkStart w:id="31" w:name="_Toc31"/><w:r><w:t>15.9 GOVERNMENT SALES TIMELINE</w:t></w:r><w:bookmarkEnd w:id="31"/></w:p><w:p><w:pPr><w:pStyle w:val="Normal"/></w:pPr><w:r><w:rPr><w:color w:val="333333"/><w:sz w:val="22"/><w:szCs w:val="22"/></w:rPr><w:t xml:space="preserve">Selling to government institutions takes time. Plan for it.</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Phase</w:t></w:r></w:p></w:tc><w:tc><w:tcPr><w:vAlign w:val="top"/><w:shd w:val="clear" w:fill="1B4F72"/></w:tcPr><w:p><w:pPr><w:spacing w:after="20"/></w:pPr><w:r><w:rPr><w:color w:val="FFFFFF"/><w:sz w:val="18"/><w:szCs w:val="18"/><w:b w:val="1"/><w:bCs w:val="1"/></w:rPr><w:t xml:space="preserve">Duration</w:t></w:r></w:p></w:tc><w:tc><w:tcPr><w:vAlign w:val="top"/><w:shd w:val="clear" w:fill="1B4F72"/></w:tcPr><w:p><w:pPr><w:spacing w:after="20"/></w:pPr><w:r><w:rPr><w:color w:val="FFFFFF"/><w:sz w:val="18"/><w:szCs w:val="18"/><w:b w:val="1"/><w:bCs w:val="1"/></w:rPr><w:t xml:space="preserve">Activities</w:t></w:r></w:p></w:tc></w:tr><w:tr><w:trPr/><w:tc><w:tcPr><w:vAlign w:val="top"/></w:tcPr><w:p><w:pPr><w:spacing w:after="20"/></w:pPr><w:r><w:rPr><w:color w:val="333333"/><w:sz w:val="18"/><w:szCs w:val="18"/></w:rPr><w:t xml:space="preserve">**Awareness and relationship building**</w:t></w:r></w:p></w:tc><w:tc><w:tcPr><w:vAlign w:val="top"/></w:tcPr><w:p><w:pPr><w:spacing w:after="20"/></w:pPr><w:r><w:rPr><w:color w:val="333333"/><w:sz w:val="18"/><w:szCs w:val="18"/></w:rPr><w:t xml:space="preserve">1–6 months</w:t></w:r></w:p></w:tc><w:tc><w:tcPr><w:vAlign w:val="top"/></w:tcPr><w:p><w:pPr><w:spacing w:after="20"/></w:pPr><w:r><w:rPr><w:color w:val="333333"/><w:sz w:val="18"/><w:szCs w:val="18"/></w:rPr><w:t xml:space="preserve">Identify targets, connect with Corporation Secretaries, share thought leadership, attend events</w:t></w:r></w:p></w:tc></w:tr><w:tr><w:trPr/><w:tc><w:tcPr><w:vAlign w:val="top"/><w:shd w:val="clear" w:fill="F8F9FA"/></w:tcPr><w:p><w:pPr><w:spacing w:after="20"/></w:pPr><w:r><w:rPr><w:color w:val="333333"/><w:sz w:val="18"/><w:szCs w:val="18"/></w:rPr><w:t xml:space="preserve">**Engagement and demonstration**</w:t></w:r></w:p></w:tc><w:tc><w:tcPr><w:vAlign w:val="top"/><w:shd w:val="clear" w:fill="F8F9FA"/></w:tcPr><w:p><w:pPr><w:spacing w:after="20"/></w:pPr><w:r><w:rPr><w:color w:val="333333"/><w:sz w:val="18"/><w:szCs w:val="18"/></w:rPr><w:t xml:space="preserve">1–3 months</w:t></w:r></w:p></w:tc><w:tc><w:tcPr><w:vAlign w:val="top"/><w:shd w:val="clear" w:fill="F8F9FA"/></w:tcPr><w:p><w:pPr><w:spacing w:after="20"/></w:pPr><w:r><w:rPr><w:color w:val="333333"/><w:sz w:val="18"/><w:szCs w:val="18"/></w:rPr><w:t xml:space="preserve">Conduct governance health checks, run demonstrations, identify champions</w:t></w:r></w:p></w:tc></w:tr><w:tr><w:trPr/><w:tc><w:tcPr><w:vAlign w:val="top"/></w:tcPr><w:p><w:pPr><w:spacing w:after="20"/></w:pPr><w:r><w:rPr><w:color w:val="333333"/><w:sz w:val="18"/><w:szCs w:val="18"/></w:rPr><w:t xml:space="preserve">**Internal advocacy**</w:t></w:r></w:p></w:tc><w:tc><w:tcPr><w:vAlign w:val="top"/></w:tcPr><w:p><w:pPr><w:spacing w:after="20"/></w:pPr><w:r><w:rPr><w:color w:val="333333"/><w:sz w:val="18"/><w:szCs w:val="18"/></w:rPr><w:t xml:space="preserve">1–4 months</w:t></w:r></w:p></w:tc><w:tc><w:tcPr><w:vAlign w:val="top"/></w:tcPr><w:p><w:pPr><w:spacing w:after="20"/></w:pPr><w:r><w:rPr><w:color w:val="333333"/><w:sz w:val="18"/><w:szCs w:val="18"/></w:rPr><w:t xml:space="preserve">Support champion with materials, business case, draft internal proposals</w:t></w:r></w:p></w:tc></w:tr><w:tr><w:trPr/><w:tc><w:tcPr><w:vAlign w:val="top"/><w:shd w:val="clear" w:fill="F8F9FA"/></w:tcPr><w:p><w:pPr><w:spacing w:after="20"/></w:pPr><w:r><w:rPr><w:color w:val="333333"/><w:sz w:val="18"/><w:szCs w:val="18"/></w:rPr><w:t xml:space="preserve">**Budget allocation**</w:t></w:r></w:p></w:tc><w:tc><w:tcPr><w:vAlign w:val="top"/><w:shd w:val="clear" w:fill="F8F9FA"/></w:tcPr><w:p><w:pPr><w:spacing w:after="20"/></w:pPr><w:r><w:rPr><w:color w:val="333333"/><w:sz w:val="18"/><w:szCs w:val="18"/></w:rPr><w:t xml:space="preserve">Tied to budget cycle</w:t></w:r></w:p></w:tc><w:tc><w:tcPr><w:vAlign w:val="top"/><w:shd w:val="clear" w:fill="F8F9FA"/></w:tcPr><w:p><w:pPr><w:spacing w:after="20"/></w:pPr><w:r><w:rPr><w:color w:val="333333"/><w:sz w:val="18"/><w:szCs w:val="18"/></w:rPr><w:t xml:space="preserve">Institution includes E-Board in next financial year budget (July–June)</w:t></w:r></w:p></w:tc></w:tr><w:tr><w:trPr/><w:tc><w:tcPr><w:vAlign w:val="top"/></w:tcPr><w:p><w:pPr><w:spacing w:after="20"/></w:pPr><w:r><w:rPr><w:color w:val="333333"/><w:sz w:val="18"/><w:szCs w:val="18"/></w:rPr><w:t xml:space="preserve">**Procurement process**</w:t></w:r></w:p></w:tc><w:tc><w:tcPr><w:vAlign w:val="top"/></w:tcPr><w:p><w:pPr><w:spacing w:after="20"/></w:pPr><w:r><w:rPr><w:color w:val="333333"/><w:sz w:val="18"/><w:szCs w:val="18"/></w:rPr><w:t xml:space="preserve">1–4 months</w:t></w:r></w:p></w:tc><w:tc><w:tcPr><w:vAlign w:val="top"/></w:tcPr><w:p><w:pPr><w:spacing w:after="20"/></w:pPr><w:r><w:rPr><w:color w:val="333333"/><w:sz w:val="18"/><w:szCs w:val="18"/></w:rPr><w:t xml:space="preserve">RFQ/tender preparation, submission, evaluation, award</w:t></w:r></w:p></w:tc></w:tr><w:tr><w:trPr/><w:tc><w:tcPr><w:vAlign w:val="top"/><w:shd w:val="clear" w:fill="F8F9FA"/></w:tcPr><w:p><w:pPr><w:spacing w:after="20"/></w:pPr><w:r><w:rPr><w:color w:val="333333"/><w:sz w:val="18"/><w:szCs w:val="18"/></w:rPr><w:t xml:space="preserve">**Contracting and implementation**</w:t></w:r></w:p></w:tc><w:tc><w:tcPr><w:vAlign w:val="top"/><w:shd w:val="clear" w:fill="F8F9FA"/></w:tcPr><w:p><w:pPr><w:spacing w:after="20"/></w:pPr><w:r><w:rPr><w:color w:val="333333"/><w:sz w:val="18"/><w:szCs w:val="18"/></w:rPr><w:t xml:space="preserve">1–3 months</w:t></w:r></w:p></w:tc><w:tc><w:tcPr><w:vAlign w:val="top"/><w:shd w:val="clear" w:fill="F8F9FA"/></w:tcPr><w:p><w:pPr><w:spacing w:after="20"/></w:pPr><w:r><w:rPr><w:color w:val="333333"/><w:sz w:val="18"/><w:szCs w:val="18"/></w:rPr><w:t xml:space="preserve">Contract negotiation, signing, LPO issuance, implementation</w:t></w:r></w:p></w:tc></w:tr></w:tbl><w:p><w:pPr><w:pStyle w:val="Normal"/></w:pPr><w:r><w:rPr><w:color w:val="2C3E50"/><w:sz w:val="22"/><w:szCs w:val="22"/><w:b w:val="1"/><w:bCs w:val="1"/></w:rPr><w:t xml:space="preserve">Total timeline: 6–18 months from first contact to revenue.</w:t></w:r><w:r><w:rPr><w:color w:val="333333"/><w:sz w:val="22"/><w:szCs w:val="22"/></w:rPr><w:t xml:space="preserve">Total timeline: 6–18 months from first contact to revenue.</w:t></w:r></w:p><w:p><w:pPr><w:pStyle w:val="Normal"/></w:pPr><w:r><w:rPr><w:color w:val="2C3E50"/><w:sz w:val="22"/><w:szCs w:val="22"/><w:b w:val="1"/><w:bCs w:val="1"/></w:rPr><w:t xml:space="preserve">Critical implication:</w:t></w:r><w:r><w:rPr><w:color w:val="333333"/><w:sz w:val="22"/><w:szCs w:val="22"/></w:rPr><w:t xml:space="preserve">Critical implication:</w:t></w:r><w:r><w:rPr><w:color w:val="333333"/><w:sz w:val="22"/><w:szCs w:val="22"/></w:rPr><w:t xml:space="preserve"> If Losvinca wants government revenue in FY 2027/28 (July 2027–June 2028), demand creation activities must begin no later than January 2027, with budget requests submitted by institutions in their March–May 2027 budget preparation cycle.</w:t></w:r></w:p><w:p><w:pPr><w:pStyle w:val="Normal"/></w:pPr><w:r><w:rPr><w:color w:val="333333"/><w:sz w:val="22"/><w:szCs w:val="22"/></w:rPr><w:t xml:space="preserve">[REQUIRES LOSVINCA INPUT — align government sales timeline with Losvinca's business plan and cash flow]</w:t></w:r></w:p><w:p><w:pPr><w:pStyle w:val="Heading2"/></w:pPr><w:bookmarkStart w:id="32" w:name="_Toc32"/><w:r><w:t>15.10 GOVERNMENT SALES DO's AND DON'Ts</w:t></w:r><w:bookmarkEnd w:id="32"/></w:p><w:p><w:pPr><w:pStyle w:val="Heading3"/></w:pPr><w:bookmarkStart w:id="33" w:name="_Toc33"/><w:r><w:t>DO:</w:t></w:r><w:bookmarkEnd w:id="33"/></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comply with every procurement rule. Losvinca's reputation depends on integrity.</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register on IFMIS and maintain current tax compliance.</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build relationships before procurement opportunities arise.</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understand each institution's budget cycle and plan around it.</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provide a paid pilot option that falls within direct procurement thresholds.</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invest in professional tender responses — many local companies lose on presentation quality.</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attend tender openings and request evaluation reports after unsuccessful bids.</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build a portfolio of reference clients, starting with the first deployment.</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engage the Corporation Secretary as the primary stakeholder.</w:t></w:r></w:p><w:p><w:pPr><w:pStyle w:val="ListBullet"/><w:numPr><w:ilvl w:val="0"/><w:numId w:val="9"/></w:numPr></w:pPr><w:r><w:rPr><w:color w:val="2C3E50"/><w:sz w:val="22"/><w:szCs w:val="22"/><w:b w:val="1"/><w:bCs w:val="1"/></w:rPr><w:t xml:space="preserve">Do</w:t></w:r><w:r><w:rPr><w:color w:val="333333"/><w:sz w:val="22"/><w:szCs w:val="22"/></w:rPr><w:t xml:space="preserve">Do</w:t></w:r><w:r><w:rPr><w:color w:val="333333"/><w:sz w:val="22"/><w:szCs w:val="22"/></w:rPr><w:t xml:space="preserve"> position E-Board as a governance compliance tool, not just software.</w:t></w:r></w:p><w:p><w:pPr><w:pStyle w:val="Heading3"/></w:pPr><w:bookmarkStart w:id="34" w:name="_Toc34"/><w:r><w:t>DON'T:</w:t></w:r><w:bookmarkEnd w:id="34"/></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offer free products or services to government institutions — this can constitute inducement under the Act.</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attempt to influence procurement committees or evaluation panels.</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share confidential tender information or seek inside information about competing bids.</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promise features E-Board does not currently have (see the "Not Available" list in the capability audit).</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criticise competitors in tender responses or presentations — focus on E-Board's strengths.</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depend solely on open tenders — most opportunities are shaped before the tender is published.</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ignore the ICT department — they can block procurement even if the Corporation Secretary wants E-Board.</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submit tender responses that are poorly formatted, incomplete, or late. Government procurement officers often use formatting and completeness as initial screening criteria.</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promise on-premise deployment if Losvinca is not prepared to support it (confirm in Part 14).</w:t></w:r></w:p><w:p><w:pPr><w:pStyle w:val="ListBullet"/><w:numPr><w:ilvl w:val="0"/><w:numId w:val="9"/></w:numPr></w:pPr><w:r><w:rPr><w:color w:val="2C3E50"/><w:sz w:val="22"/><w:szCs w:val="22"/><w:b w:val="1"/><w:bCs w:val="1"/></w:rPr><w:t xml:space="preserve">Don't</w:t></w:r><w:r><w:rPr><w:color w:val="333333"/><w:sz w:val="22"/><w:szCs w:val="22"/></w:rPr><w:t xml:space="preserve">Don't</w:t></w:r><w:r><w:rPr><w:color w:val="333333"/><w:sz w:val="22"/><w:szCs w:val="22"/></w:rPr><w:t xml:space="preserve"> make verbal commitments that differ from what is in the written proposal.</w:t></w:r></w:p><w:p><w:pPr><w:pStyle w:val="Heading2"/></w:pPr><w:bookmarkStart w:id="35" w:name="_Toc35"/><w:r><w:t>15.11 TRACKING AND PIPELINE MANAGEMENT</w:t></w:r><w:bookmarkEnd w:id="35"/></w:p><w:p><w:pPr><w:pStyle w:val="Heading3"/></w:pPr><w:bookmarkStart w:id="36" w:name="_Toc36"/><w:r><w:t>Government Sales Pipeline Stages</w:t></w:r><w:bookmarkEnd w:id="36"/></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Stage</w:t></w:r></w:p></w:tc><w:tc><w:tcPr><w:vAlign w:val="top"/><w:shd w:val="clear" w:fill="1B4F72"/></w:tcPr><w:p><w:pPr><w:spacing w:after="20"/></w:pPr><w:r><w:rPr><w:color w:val="FFFFFF"/><w:sz w:val="18"/><w:szCs w:val="18"/><w:b w:val="1"/><w:bCs w:val="1"/></w:rPr><w:t xml:space="preserve">Definition</w:t></w:r></w:p></w:tc><w:tc><w:tcPr><w:vAlign w:val="top"/><w:shd w:val="clear" w:fill="1B4F72"/></w:tcPr><w:p><w:pPr><w:spacing w:after="20"/></w:pPr><w:r><w:rPr><w:color w:val="FFFFFF"/><w:sz w:val="18"/><w:szCs w:val="18"/><w:b w:val="1"/><w:bCs w:val="1"/></w:rPr><w:t xml:space="preserve">Probability</w:t></w:r></w:p></w:tc></w:tr><w:tr><w:trPr/><w:tc><w:tcPr><w:vAlign w:val="top"/></w:tcPr><w:p><w:pPr><w:spacing w:after="20"/></w:pPr><w:r><w:rPr><w:color w:val="333333"/><w:sz w:val="18"/><w:szCs w:val="18"/></w:rPr><w:t xml:space="preserve">**Identified**</w:t></w:r></w:p></w:tc><w:tc><w:tcPr><w:vAlign w:val="top"/></w:tcPr><w:p><w:pPr><w:spacing w:after="20"/></w:pPr><w:r><w:rPr><w:color w:val="333333"/><w:sz w:val="18"/><w:szCs w:val="18"/></w:rPr><w:t xml:space="preserve">Target institution identified, no contact yet</w:t></w:r></w:p></w:tc><w:tc><w:tcPr><w:vAlign w:val="top"/></w:tcPr><w:p><w:pPr><w:spacing w:after="20"/></w:pPr><w:r><w:rPr><w:color w:val="333333"/><w:sz w:val="18"/><w:szCs w:val="18"/></w:rPr><w:t xml:space="preserve">5%</w:t></w:r></w:p></w:tc></w:tr><w:tr><w:trPr/><w:tc><w:tcPr><w:vAlign w:val="top"/><w:shd w:val="clear" w:fill="F8F9FA"/></w:tcPr><w:p><w:pPr><w:spacing w:after="20"/></w:pPr><w:r><w:rPr><w:color w:val="333333"/><w:sz w:val="18"/><w:szCs w:val="18"/></w:rPr><w:t xml:space="preserve">**Engaged**</w:t></w:r></w:p></w:tc><w:tc><w:tcPr><w:vAlign w:val="top"/><w:shd w:val="clear" w:fill="F8F9FA"/></w:tcPr><w:p><w:pPr><w:spacing w:after="20"/></w:pPr><w:r><w:rPr><w:color w:val="333333"/><w:sz w:val="18"/><w:szCs w:val="18"/></w:rPr><w:t xml:space="preserve">Contact established with Corporation Secretary or other stakeholder</w:t></w:r></w:p></w:tc><w:tc><w:tcPr><w:vAlign w:val="top"/><w:shd w:val="clear" w:fill="F8F9FA"/></w:tcPr><w:p><w:pPr><w:spacing w:after="20"/></w:pPr><w:r><w:rPr><w:color w:val="333333"/><w:sz w:val="18"/><w:szCs w:val="18"/></w:rPr><w:t xml:space="preserve">10%</w:t></w:r></w:p></w:tc></w:tr><w:tr><w:trPr/><w:tc><w:tcPr><w:vAlign w:val="top"/></w:tcPr><w:p><w:pPr><w:spacing w:after="20"/></w:pPr><w:r><w:rPr><w:color w:val="333333"/><w:sz w:val="18"/><w:szCs w:val="18"/></w:rPr><w:t xml:space="preserve">**Demonstrated**</w:t></w:r></w:p></w:tc><w:tc><w:tcPr><w:vAlign w:val="top"/></w:tcPr><w:p><w:pPr><w:spacing w:after="20"/></w:pPr><w:r><w:rPr><w:color w:val="333333"/><w:sz w:val="18"/><w:szCs w:val="18"/></w:rPr><w:t xml:space="preserve">Formal demonstration completed</w:t></w:r></w:p></w:tc><w:tc><w:tcPr><w:vAlign w:val="top"/></w:tcPr><w:p><w:pPr><w:spacing w:after="20"/></w:pPr><w:r><w:rPr><w:color w:val="333333"/><w:sz w:val="18"/><w:szCs w:val="18"/></w:rPr><w:t xml:space="preserve">20%</w:t></w:r></w:p></w:tc></w:tr><w:tr><w:trPr/><w:tc><w:tcPr><w:vAlign w:val="top"/><w:shd w:val="clear" w:fill="F8F9FA"/></w:tcPr><w:p><w:pPr><w:spacing w:after="20"/></w:pPr><w:r><w:rPr><w:color w:val="333333"/><w:sz w:val="18"/><w:szCs w:val="18"/></w:rPr><w:t xml:space="preserve">**Champion identified**</w:t></w:r></w:p></w:tc><w:tc><w:tcPr><w:vAlign w:val="top"/><w:shd w:val="clear" w:fill="F8F9FA"/></w:tcPr><w:p><w:pPr><w:spacing w:after="20"/></w:pPr><w:r><w:rPr><w:color w:val="333333"/><w:sz w:val="18"/><w:szCs w:val="18"/></w:rPr><w:t xml:space="preserve">Internal advocate actively supporting adoption</w:t></w:r></w:p></w:tc><w:tc><w:tcPr><w:vAlign w:val="top"/><w:shd w:val="clear" w:fill="F8F9FA"/></w:tcPr><w:p><w:pPr><w:spacing w:after="20"/></w:pPr><w:r><w:rPr><w:color w:val="333333"/><w:sz w:val="18"/><w:szCs w:val="18"/></w:rPr><w:t xml:space="preserve">30%</w:t></w:r></w:p></w:tc></w:tr><w:tr><w:trPr/><w:tc><w:tcPr><w:vAlign w:val="top"/></w:tcPr><w:p><w:pPr><w:spacing w:after="20"/></w:pPr><w:r><w:rPr><w:color w:val="333333"/><w:sz w:val="18"/><w:szCs w:val="18"/></w:rPr><w:t xml:space="preserve">**Budget allocated**</w:t></w:r></w:p></w:tc><w:tc><w:tcPr><w:vAlign w:val="top"/></w:tcPr><w:p><w:pPr><w:spacing w:after="20"/></w:pPr><w:r><w:rPr><w:color w:val="333333"/><w:sz w:val="18"/><w:szCs w:val="18"/></w:rPr><w:t xml:space="preserve">Institution has included in budget</w:t></w:r></w:p></w:tc><w:tc><w:tcPr><w:vAlign w:val="top"/></w:tcPr><w:p><w:pPr><w:spacing w:after="20"/></w:pPr><w:r><w:rPr><w:color w:val="333333"/><w:sz w:val="18"/><w:szCs w:val="18"/></w:rPr><w:t xml:space="preserve">50%</w:t></w:r></w:p></w:tc></w:tr><w:tr><w:trPr/><w:tc><w:tcPr><w:vAlign w:val="top"/><w:shd w:val="clear" w:fill="F8F9FA"/></w:tcPr><w:p><w:pPr><w:spacing w:after="20"/></w:pPr><w:r><w:rPr><w:color w:val="333333"/><w:sz w:val="18"/><w:szCs w:val="18"/></w:rPr><w:t xml:space="preserve">**Procurement initiated**</w:t></w:r></w:p></w:tc><w:tc><w:tcPr><w:vAlign w:val="top"/><w:shd w:val="clear" w:fill="F8F9FA"/></w:tcPr><w:p><w:pPr><w:spacing w:after="20"/></w:pPr><w:r><w:rPr><w:color w:val="333333"/><w:sz w:val="18"/><w:szCs w:val="18"/></w:rPr><w:t xml:space="preserve">RFQ/tender published or LPO in process</w:t></w:r></w:p></w:tc><w:tc><w:tcPr><w:vAlign w:val="top"/><w:shd w:val="clear" w:fill="F8F9FA"/></w:tcPr><w:p><w:pPr><w:spacing w:after="20"/></w:pPr><w:r><w:rPr><w:color w:val="333333"/><w:sz w:val="18"/><w:szCs w:val="18"/></w:rPr><w:t xml:space="preserve">60%</w:t></w:r></w:p></w:tc></w:tr><w:tr><w:trPr/><w:tc><w:tcPr><w:vAlign w:val="top"/></w:tcPr><w:p><w:pPr><w:spacing w:after="20"/></w:pPr><w:r><w:rPr><w:color w:val="333333"/><w:sz w:val="18"/><w:szCs w:val="18"/></w:rPr><w:t xml:space="preserve">**Proposal submitted**</w:t></w:r></w:p></w:tc><w:tc><w:tcPr><w:vAlign w:val="top"/></w:tcPr><w:p><w:pPr><w:spacing w:after="20"/></w:pPr><w:r><w:rPr><w:color w:val="333333"/><w:sz w:val="18"/><w:szCs w:val="18"/></w:rPr><w:t xml:space="preserve">Formal response submitted</w:t></w:r></w:p></w:tc><w:tc><w:tcPr><w:vAlign w:val="top"/></w:tcPr><w:p><w:pPr><w:spacing w:after="20"/></w:pPr><w:r><w:rPr><w:color w:val="333333"/><w:sz w:val="18"/><w:szCs w:val="18"/></w:rPr><w:t xml:space="preserve">70%</w:t></w:r></w:p></w:tc></w:tr><w:tr><w:trPr/><w:tc><w:tcPr><w:vAlign w:val="top"/><w:shd w:val="clear" w:fill="F8F9FA"/></w:tcPr><w:p><w:pPr><w:spacing w:after="20"/></w:pPr><w:r><w:rPr><w:color w:val="333333"/><w:sz w:val="18"/><w:szCs w:val="18"/></w:rPr><w:t xml:space="preserve">**Evaluation**</w:t></w:r></w:p></w:tc><w:tc><w:tcPr><w:vAlign w:val="top"/><w:shd w:val="clear" w:fill="F8F9FA"/></w:tcPr><w:p><w:pPr><w:spacing w:after="20"/></w:pPr><w:r><w:rPr><w:color w:val="333333"/><w:sz w:val="18"/><w:szCs w:val="18"/></w:rPr><w:t xml:space="preserve">Under evaluation, may include presentations</w:t></w:r></w:p></w:tc><w:tc><w:tcPr><w:vAlign w:val="top"/><w:shd w:val="clear" w:fill="F8F9FA"/></w:tcPr><w:p><w:pPr><w:spacing w:after="20"/></w:pPr><w:r><w:rPr><w:color w:val="333333"/><w:sz w:val="18"/><w:szCs w:val="18"/></w:rPr><w:t xml:space="preserve">75%</w:t></w:r></w:p></w:tc></w:tr><w:tr><w:trPr/><w:tc><w:tcPr><w:vAlign w:val="top"/></w:tcPr><w:p><w:pPr><w:spacing w:after="20"/></w:pPr><w:r><w:rPr><w:color w:val="333333"/><w:sz w:val="18"/><w:szCs w:val="18"/></w:rPr><w:t xml:space="preserve">**Award**</w:t></w:r></w:p></w:tc><w:tc><w:tcPr><w:vAlign w:val="top"/></w:tcPr><w:p><w:pPr><w:spacing w:after="20"/></w:pPr><w:r><w:rPr><w:color w:val="333333"/><w:sz w:val="18"/><w:szCs w:val="18"/></w:rPr><w:t xml:space="preserve">Awarded to Losvinca, pending contract</w:t></w:r></w:p></w:tc><w:tc><w:tcPr><w:vAlign w:val="top"/></w:tcPr><w:p><w:pPr><w:spacing w:after="20"/></w:pPr><w:r><w:rPr><w:color w:val="333333"/><w:sz w:val="18"/><w:szCs w:val="18"/></w:rPr><w:t xml:space="preserve">85%</w:t></w:r></w:p></w:tc></w:tr><w:tr><w:trPr/><w:tc><w:tcPr><w:vAlign w:val="top"/><w:shd w:val="clear" w:fill="F8F9FA"/></w:tcPr><w:p><w:pPr><w:spacing w:after="20"/></w:pPr><w:r><w:rPr><w:color w:val="333333"/><w:sz w:val="18"/><w:szCs w:val="18"/></w:rPr><w:t xml:space="preserve">**Contracted**</w:t></w:r></w:p></w:tc><w:tc><w:tcPr><w:vAlign w:val="top"/><w:shd w:val="clear" w:fill="F8F9FA"/></w:tcPr><w:p><w:pPr><w:spacing w:after="20"/></w:pPr><w:r><w:rPr><w:color w:val="333333"/><w:sz w:val="18"/><w:szCs w:val="18"/></w:rPr><w:t xml:space="preserve">Contract signed, LPO issued</w:t></w:r></w:p></w:tc><w:tc><w:tcPr><w:vAlign w:val="top"/><w:shd w:val="clear" w:fill="F8F9FA"/></w:tcPr><w:p><w:pPr><w:spacing w:after="20"/></w:pPr><w:r><w:rPr><w:color w:val="333333"/><w:sz w:val="18"/><w:szCs w:val="18"/></w:rPr><w:t xml:space="preserve">95%</w:t></w:r></w:p></w:tc></w:tr><w:tr><w:trPr/><w:tc><w:tcPr><w:vAlign w:val="top"/></w:tcPr><w:p><w:pPr><w:spacing w:after="20"/></w:pPr><w:r><w:rPr><w:color w:val="333333"/><w:sz w:val="18"/><w:szCs w:val="18"/></w:rPr><w:t xml:space="preserve">**Revenue**</w:t></w:r></w:p></w:tc><w:tc><w:tcPr><w:vAlign w:val="top"/></w:tcPr><w:p><w:pPr><w:spacing w:after="20"/></w:pPr><w:r><w:rPr><w:color w:val="333333"/><w:sz w:val="18"/><w:szCs w:val="18"/></w:rPr><w:t xml:space="preserve">Invoiced and implementation begun</w:t></w:r></w:p></w:tc><w:tc><w:tcPr><w:vAlign w:val="top"/></w:tcPr><w:p><w:pPr><w:spacing w:after="20"/></w:pPr><w:r><w:rPr><w:color w:val="333333"/><w:sz w:val="18"/><w:szCs w:val="18"/></w:rPr><w:t xml:space="preserve">100%</w:t></w:r></w:p></w:tc></w:tr></w:tbl><w:p><w:pPr><w:pStyle w:val="Normal"/></w:pPr><w:r><w:rPr><w:color w:val="333333"/><w:sz w:val="22"/><w:szCs w:val="22"/></w:rPr><w:t xml:space="preserve">[REQUIRES LOSVINCA INPUT — select or build a CRM system to track this pipeline]</w:t></w:r></w:p><w:p><w:pPr><w:pStyle w:val="Heading3"/></w:pPr><w:bookmarkStart w:id="37" w:name="_Toc37"/><w:r><w:t>Target Pipeline Metrics (Year 1)</w:t></w:r><w:bookmarkEnd w:id="37"/></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Metric</w:t></w:r></w:p></w:tc><w:tc><w:tcPr><w:vAlign w:val="top"/><w:shd w:val="clear" w:fill="1B4F72"/></w:tcPr><w:p><w:pPr><w:spacing w:after="20"/></w:pPr><w:r><w:rPr><w:color w:val="FFFFFF"/><w:sz w:val="18"/><w:szCs w:val="18"/><w:b w:val="1"/><w:bCs w:val="1"/></w:rPr><w:t xml:space="preserve">Target</w:t></w:r></w:p></w:tc></w:tr><w:tr><w:trPr/><w:tc><w:tcPr><w:vAlign w:val="top"/></w:tcPr><w:p><w:pPr><w:spacing w:after="20"/></w:pPr><w:r><w:rPr><w:color w:val="333333"/><w:sz w:val="18"/><w:szCs w:val="18"/></w:rPr><w:t xml:space="preserve">Institutions identified</w:t></w:r></w:p></w:tc><w:tc><w:tcPr><w:vAlign w:val="top"/></w:tcPr><w:p><w:pPr><w:spacing w:after="20"/></w:pPr><w:r><w:rPr><w:color w:val="333333"/><w:sz w:val="18"/><w:szCs w:val="18"/></w:rPr><w:t xml:space="preserve">50</w:t></w:r></w:p></w:tc></w:tr><w:tr><w:trPr/><w:tc><w:tcPr><w:vAlign w:val="top"/><w:shd w:val="clear" w:fill="F8F9FA"/></w:tcPr><w:p><w:pPr><w:spacing w:after="20"/></w:pPr><w:r><w:rPr><w:color w:val="333333"/><w:sz w:val="18"/><w:szCs w:val="18"/></w:rPr><w:t xml:space="preserve">Institutions engaged</w:t></w:r></w:p></w:tc><w:tc><w:tcPr><w:vAlign w:val="top"/><w:shd w:val="clear" w:fill="F8F9FA"/></w:tcPr><w:p><w:pPr><w:spacing w:after="20"/></w:pPr><w:r><w:rPr><w:color w:val="333333"/><w:sz w:val="18"/><w:szCs w:val="18"/></w:rPr><w:t xml:space="preserve">25</w:t></w:r></w:p></w:tc></w:tr><w:tr><w:trPr/><w:tc><w:tcPr><w:vAlign w:val="top"/></w:tcPr><w:p><w:pPr><w:spacing w:after="20"/></w:pPr><w:r><w:rPr><w:color w:val="333333"/><w:sz w:val="18"/><w:szCs w:val="18"/></w:rPr><w:t xml:space="preserve">Demonstrations completed</w:t></w:r></w:p></w:tc><w:tc><w:tcPr><w:vAlign w:val="top"/></w:tcPr><w:p><w:pPr><w:spacing w:after="20"/></w:pPr><w:r><w:rPr><w:color w:val="333333"/><w:sz w:val="18"/><w:szCs w:val="18"/></w:rPr><w:t xml:space="preserve">15</w:t></w:r></w:p></w:tc></w:tr><w:tr><w:trPr/><w:tc><w:tcPr><w:vAlign w:val="top"/><w:shd w:val="clear" w:fill="F8F9FA"/></w:tcPr><w:p><w:pPr><w:spacing w:after="20"/></w:pPr><w:r><w:rPr><w:color w:val="333333"/><w:sz w:val="18"/><w:szCs w:val="18"/></w:rPr><w:t xml:space="preserve">Pilots initiated</w:t></w:r></w:p></w:tc><w:tc><w:tcPr><w:vAlign w:val="top"/><w:shd w:val="clear" w:fill="F8F9FA"/></w:tcPr><w:p><w:pPr><w:spacing w:after="20"/></w:pPr><w:r><w:rPr><w:color w:val="333333"/><w:sz w:val="18"/><w:szCs w:val="18"/></w:rPr><w:t xml:space="preserve">5</w:t></w:r></w:p></w:tc></w:tr><w:tr><w:trPr/><w:tc><w:tcPr><w:vAlign w:val="top"/></w:tcPr><w:p><w:pPr><w:spacing w:after="20"/></w:pPr><w:r><w:rPr><w:color w:val="333333"/><w:sz w:val="18"/><w:szCs w:val="18"/></w:rPr><w:t xml:space="preserve">Contracts signed</w:t></w:r></w:p></w:tc><w:tc><w:tcPr><w:vAlign w:val="top"/></w:tcPr><w:p><w:pPr><w:spacing w:after="20"/></w:pPr><w:r><w:rPr><w:color w:val="333333"/><w:sz w:val="18"/><w:szCs w:val="18"/></w:rPr><w:t xml:space="preserve">5–10</w:t></w:r></w:p></w:tc></w:tr><w:tr><w:trPr/><w:tc><w:tcPr><w:vAlign w:val="top"/><w:shd w:val="clear" w:fill="F8F9FA"/></w:tcPr><w:p><w:pPr><w:spacing w:after="20"/></w:pPr><w:r><w:rPr><w:color w:val="333333"/><w:sz w:val="18"/><w:szCs w:val="18"/></w:rPr><w:t xml:space="preserve">Revenue from government</w:t></w:r></w:p></w:tc><w:tc><w:tcPr><w:vAlign w:val="top"/><w:shd w:val="clear" w:fill="F8F9FA"/></w:tcPr><w:p><w:pPr><w:spacing w:after="20"/></w:pPr><w:r><w:rPr><w:color w:val="333333"/><w:sz w:val="18"/><w:szCs w:val="18"/></w:rPr><w:t xml:space="preserve">KES 10,000,000 – 20,000,000</w:t></w:r></w:p></w:tc></w:tr></w:tbl><w:p><w:pPr><w:pStyle w:val="Heading2"/></w:pPr><w:bookmarkStart w:id="38" w:name="_Toc38"/><w:r><w:t>15.12 PROCUREMENT CALENDAR ALIGNMENT</w:t></w:r><w:bookmarkEnd w:id="38"/></w:p><w:p><w:pPr><w:pStyle w:val="Normal"/></w:pPr><w:r><w:rPr><w:color w:val="333333"/><w:sz w:val="22"/><w:szCs w:val="22"/></w:rPr><w:t xml:space="preserve">Kenya's government fiscal year runs July–June. Budget preparation follows a defined calendar:</w:t></w:r></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Period</w:t></w:r></w:p></w:tc><w:tc><w:tcPr><w:vAlign w:val="top"/><w:shd w:val="clear" w:fill="1B4F72"/></w:tcPr><w:p><w:pPr><w:spacing w:after="20"/></w:pPr><w:r><w:rPr><w:color w:val="FFFFFF"/><w:sz w:val="18"/><w:szCs w:val="18"/><w:b w:val="1"/><w:bCs w:val="1"/></w:rPr><w:t xml:space="preserve">Activity</w:t></w:r></w:p></w:tc><w:tc><w:tcPr><w:vAlign w:val="top"/><w:shd w:val="clear" w:fill="1B4F72"/></w:tcPr><w:p><w:pPr><w:spacing w:after="20"/></w:pPr><w:r><w:rPr><w:color w:val="FFFFFF"/><w:sz w:val="18"/><w:szCs w:val="18"/><w:b w:val="1"/><w:bCs w:val="1"/></w:rPr><w:t xml:space="preserve">Losvinca Action</w:t></w:r></w:p></w:tc></w:tr><w:tr><w:trPr/><w:tc><w:tcPr><w:vAlign w:val="top"/></w:tcPr><w:p><w:pPr><w:spacing w:after="20"/></w:pPr><w:r><w:rPr><w:color w:val="333333"/><w:sz w:val="18"/><w:szCs w:val="18"/></w:rPr><w:t xml:space="preserve">**August–October**</w:t></w:r></w:p></w:tc><w:tc><w:tcPr><w:vAlign w:val="top"/></w:tcPr><w:p><w:pPr><w:spacing w:after="20"/></w:pPr><w:r><w:rPr><w:color w:val="333333"/><w:sz w:val="18"/><w:szCs w:val="18"/></w:rPr><w:t xml:space="preserve">Institutions prepare annual work plans and procurement plans for next FY</w:t></w:r></w:p></w:tc><w:tc><w:tcPr><w:vAlign w:val="top"/></w:tcPr><w:p><w:pPr><w:spacing w:after="20"/></w:pPr><w:r><w:rPr><w:color w:val="333333"/><w:sz w:val="18"/><w:szCs w:val="18"/></w:rPr><w:t xml:space="preserve">Engage institutions to include E-Board in their procurement plans</w:t></w:r></w:p></w:tc></w:tr><w:tr><w:trPr/><w:tc><w:tcPr><w:vAlign w:val="top"/><w:shd w:val="clear" w:fill="F8F9FA"/></w:tcPr><w:p><w:pPr><w:spacing w:after="20"/></w:pPr><w:r><w:rPr><w:color w:val="333333"/><w:sz w:val="18"/><w:szCs w:val="18"/></w:rPr><w:t xml:space="preserve">**November–January**</w:t></w:r></w:p></w:tc><w:tc><w:tcPr><w:vAlign w:val="top"/><w:shd w:val="clear" w:fill="F8F9FA"/></w:tcPr><w:p><w:pPr><w:spacing w:after="20"/></w:pPr><w:r><w:rPr><w:color w:val="333333"/><w:sz w:val="18"/><w:szCs w:val="18"/></w:rPr><w:t xml:space="preserve">Budget estimates prepared and submitted</w:t></w:r></w:p></w:tc><w:tc><w:tcPr><w:vAlign w:val="top"/><w:shd w:val="clear" w:fill="F8F9FA"/></w:tcPr><w:p><w:pPr><w:spacing w:after="20"/></w:pPr><w:r><w:rPr><w:color w:val="333333"/><w:sz w:val="18"/><w:szCs w:val="18"/></w:rPr><w:t xml:space="preserve">Ensure E-Board cost is included in ICT or governance budget line</w:t></w:r></w:p></w:tc></w:tr><w:tr><w:trPr/><w:tc><w:tcPr><w:vAlign w:val="top"/></w:tcPr><w:p><w:pPr><w:spacing w:after="20"/></w:pPr><w:r><w:rPr><w:color w:val="333333"/><w:sz w:val="18"/><w:szCs w:val="18"/></w:rPr><w:t xml:space="preserve">**February–March**</w:t></w:r></w:p></w:tc><w:tc><w:tcPr><w:vAlign w:val="top"/></w:tcPr><w:p><w:pPr><w:spacing w:after="20"/></w:pPr><w:r><w:rPr><w:color w:val="333333"/><w:sz w:val="18"/><w:szCs w:val="18"/></w:rPr><w:t xml:space="preserve">Budget review and approval at institutional level</w:t></w:r></w:p></w:tc><w:tc><w:tcPr><w:vAlign w:val="top"/></w:tcPr><w:p><w:pPr><w:spacing w:after="20"/></w:pPr><w:r><w:rPr><w:color w:val="333333"/><w:sz w:val="18"/><w:szCs w:val="18"/></w:rPr><w:t xml:space="preserve">Follow up to confirm budget inclusion</w:t></w:r></w:p></w:tc></w:tr><w:tr><w:trPr/><w:tc><w:tcPr><w:vAlign w:val="top"/><w:shd w:val="clear" w:fill="F8F9FA"/></w:tcPr><w:p><w:pPr><w:spacing w:after="20"/></w:pPr><w:r><w:rPr><w:color w:val="333333"/><w:sz w:val="18"/><w:szCs w:val="18"/></w:rPr><w:t xml:space="preserve">**April–May**</w:t></w:r></w:p></w:tc><w:tc><w:tcPr><w:vAlign w:val="top"/><w:shd w:val="clear" w:fill="F8F9FA"/></w:tcPr><w:p><w:pPr><w:spacing w:after="20"/></w:pPr><w:r><w:rPr><w:color w:val="333333"/><w:sz w:val="18"/><w:szCs w:val="18"/></w:rPr><w:t xml:space="preserve">Consolidated budgets submitted to National/County Treasury</w:t></w:r></w:p></w:tc><w:tc><w:tcPr><w:vAlign w:val="top"/><w:shd w:val="clear" w:fill="F8F9FA"/></w:tcPr><w:p><w:pPr><w:spacing w:after="20"/></w:pPr><w:r><w:rPr><w:color w:val="333333"/><w:sz w:val="18"/><w:szCs w:val="18"/></w:rPr><w:t xml:space="preserve">No action — process is internal</w:t></w:r></w:p></w:tc></w:tr><w:tr><w:trPr/><w:tc><w:tcPr><w:vAlign w:val="top"/></w:tcPr><w:p><w:pPr><w:spacing w:after="20"/></w:pPr><w:r><w:rPr><w:color w:val="333333"/><w:sz w:val="18"/><w:szCs w:val="18"/></w:rPr><w:t xml:space="preserve">**June**</w:t></w:r></w:p></w:tc><w:tc><w:tcPr><w:vAlign w:val="top"/></w:tcPr><w:p><w:pPr><w:spacing w:after="20"/></w:pPr><w:r><w:rPr><w:color w:val="333333"/><w:sz w:val="18"/><w:szCs w:val="18"/></w:rPr><w:t xml:space="preserve">Budget approval (typically)</w:t></w:r></w:p></w:tc><w:tc><w:tcPr><w:vAlign w:val="top"/></w:tcPr><w:p><w:pPr><w:spacing w:after="20"/></w:pPr><w:r><w:rPr><w:color w:val="333333"/><w:sz w:val="18"/><w:szCs w:val="18"/></w:rPr><w:t xml:space="preserve">Prepare for procurement to begin in new FY</w:t></w:r></w:p></w:tc></w:tr><w:tr><w:trPr/><w:tc><w:tcPr><w:vAlign w:val="top"/><w:shd w:val="clear" w:fill="F8F9FA"/></w:tcPr><w:p><w:pPr><w:spacing w:after="20"/></w:pPr><w:r><w:rPr><w:color w:val="333333"/><w:sz w:val="18"/><w:szCs w:val="18"/></w:rPr><w:t xml:space="preserve">**July–September**</w:t></w:r></w:p></w:tc><w:tc><w:tcPr><w:vAlign w:val="top"/><w:shd w:val="clear" w:fill="F8F9FA"/></w:tcPr><w:p><w:pPr><w:spacing w:after="20"/></w:pPr><w:r><w:rPr><w:color w:val="333333"/><w:sz w:val="18"/><w:szCs w:val="18"/></w:rPr><w:t xml:space="preserve">New FY begins, procurement plans activated</w:t></w:r></w:p></w:tc><w:tc><w:tcPr><w:vAlign w:val="top"/><w:shd w:val="clear" w:fill="F8F9FA"/></w:tcPr><w:p><w:pPr><w:spacing w:after="20"/></w:pPr><w:r><w:rPr><w:color w:val="333333"/><w:sz w:val="18"/><w:szCs w:val="18"/></w:rPr><w:t xml:space="preserve">Respond to RFQs/tenders, convert pilots to production</w:t></w:r></w:p></w:tc></w:tr><w:tr><w:trPr/><w:tc><w:tcPr><w:vAlign w:val="top"/></w:tcPr><w:p><w:pPr><w:spacing w:after="20"/></w:pPr><w:r><w:rPr><w:color w:val="333333"/><w:sz w:val="18"/><w:szCs w:val="18"/></w:rPr><w:t xml:space="preserve">**October–June**</w:t></w:r></w:p></w:tc><w:tc><w:tcPr><w:vAlign w:val="top"/></w:tcPr><w:p><w:pPr><w:spacing w:after="20"/></w:pPr><w:r><w:rPr><w:color w:val="333333"/><w:sz w:val="18"/><w:szCs w:val="18"/></w:rPr><w:t xml:space="preserve">Procurement and implementation</w:t></w:r></w:p></w:tc><w:tc><w:tcPr><w:vAlign w:val="top"/></w:tcPr><w:p><w:pPr><w:spacing w:after="20"/></w:pPr><w:r><w:rPr><w:color w:val="333333"/><w:sz w:val="18"/><w:szCs w:val="18"/></w:rPr><w:t xml:space="preserve">Deliver, deploy, support</w:t></w:r></w:p></w:tc></w:tr></w:tbl><w:p><w:pPr><w:pStyle w:val="Normal"/></w:pPr><w:r><w:rPr><w:color w:val="2C3E50"/><w:sz w:val="22"/><w:szCs w:val="22"/><w:b w:val="1"/><w:bCs w:val="1"/></w:rPr><w:t xml:space="preserve">Key insight:</w:t></w:r><w:r><w:rPr><w:color w:val="333333"/><w:sz w:val="22"/><w:szCs w:val="22"/></w:rPr><w:t xml:space="preserve">Key insight:</w:t></w:r><w:r><w:rPr><w:color w:val="333333"/><w:sz w:val="22"/><w:szCs w:val="22"/></w:rPr><w:t xml:space="preserve"> The most important period for demand creation is </w:t></w:r><w:r><w:rPr><w:color w:val="2C3E50"/><w:sz w:val="22"/><w:szCs w:val="22"/><w:b w:val="1"/><w:bCs w:val="1"/></w:rPr><w:t xml:space="preserve">June–October</w:t></w:r><w:r><w:rPr><w:color w:val="333333"/><w:sz w:val="22"/><w:szCs w:val="22"/></w:rPr><w:t xml:space="preserve">June–October</w:t></w:r><w:r><w:rPr><w:color w:val="333333"/><w:sz w:val="22"/><w:szCs w:val="22"/></w:rPr><w:t xml:space="preserve"> of the year before the target financial year. This is when institutions are planning what they will buy next year.</w:t></w:r></w:p><w:p><w:pPr><w:pStyle w:val="Normal"/></w:pPr><w:r><w:rPr><w:color w:val="333333"/><w:sz w:val="22"/><w:szCs w:val="22"/><w:i w:val="1"/><w:iCs w:val="1"/></w:rPr><w:t xml:space="preserve">End of Part 15 — Government Procurement Strategy</w:t></w:r><w:r><w:rPr><w:color w:val="333333"/><w:sz w:val="22"/><w:szCs w:val="22"/></w:rPr><w:t xml:space="preserve">End of Part 15 — Government Procurement Strategy</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190A909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7EAD6C9E"/>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