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PART 20 — CASE STUDY TEMPLATE</w:t>
      </w:r>
      <w:bookmarkEnd w:id="1"/>
    </w:p>
    <w:p>
      <w:pPr>
        <w:pStyle w:val="Heading2"/>
      </w:pPr>
      <w:bookmarkStart w:id="2" w:name="_Toc2"/>
      <w:r>
        <w:t>Reusable Case Study Structure for E-Board Implementations</w:t>
      </w:r>
      <w:bookmarkEnd w:id="2"/>
    </w:p>
    <w:p>
      <w:pPr>
        <w:pStyle w:val="Heading2"/>
      </w:pPr>
      <w:bookmarkStart w:id="3" w:name="_Toc3"/>
      <w:r>
        <w:t>TEMPLATE: CASE STUDY DOCUMENT</w:t>
      </w:r>
      <w:bookmarkEnd w:id="3"/>
    </w:p>
    <w:p>
      <w:pPr>
        <w:pStyle w:val="Heading3"/>
      </w:pPr>
      <w:bookmarkStart w:id="4" w:name="_Toc4"/>
      <w:r>
        <w:t>[ORGANISATION NAME]</w:t>
      </w:r>
      <w:bookmarkEnd w:id="4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Digitizing Board Governance with E-Board</w:t>
      </w:r>
      <w:r>
        <w:rPr>
          <w:color w:val="333333"/>
          <w:sz w:val="22"/>
          <w:szCs w:val="22"/>
        </w:rPr>
        <w:t xml:space="preserve">Digitizing Board Governance with E-Board</w:t>
      </w:r>
    </w:p>
    <w:p>
      <w:pPr>
        <w:pStyle w:val="Normal"/>
      </w:pPr>
      <w:r>
        <w:rPr>
          <w:color w:val="333333"/>
          <w:sz w:val="22"/>
          <w:szCs w:val="22"/>
          <w:i w:val="1"/>
          <w:iCs w:val="1"/>
        </w:rPr>
        <w:t xml:space="preserve">A Losvinca Implementation Case Study</w:t>
      </w:r>
      <w:r>
        <w:rPr>
          <w:color w:val="333333"/>
          <w:sz w:val="22"/>
          <w:szCs w:val="22"/>
        </w:rPr>
        <w:t xml:space="preserve">A Losvinca Implementation Case Study</w:t>
      </w:r>
    </w:p>
    <w:p>
      <w:pPr>
        <w:pStyle w:val="Heading3"/>
      </w:pPr>
      <w:bookmarkStart w:id="5" w:name="_Toc5"/>
      <w:r>
        <w:t>ORGANISATION PROFILE</w:t>
      </w:r>
      <w:bookmarkEnd w:id="5"/>
    </w:p>
    <w:tbl>
      <w:tblGrid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Detail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Information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**Organisation Name**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[Full legal name]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**Type**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[State Corporation / Government Ministry / County Government / Regulatory Body / Public University / NGO / Other]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**Sector**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[Health / Education / Finance / Agriculture / Energy / Transport / ICT / Environment / Other]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**Established**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[Year]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**Mandate**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[1-2 sentence description of the organisation's mandate]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**Board Composition**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[Number of board members, e.g., "9 members including the Chairperson"]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**Board Committees**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[Number and names, e.g., "4 committees: Finance, Audit, HR, Technical"]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**Board Meetings per Year**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"4 full board meetings + 12 committee meetings"]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**Staff Involved in Board Operations**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"Corporation Secretary, 2 administrative officers, CEO's office"]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**Location**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[City, County]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**Implementation Date**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[Month, Year]</w:t>
            </w:r>
          </w:p>
        </w:tc>
      </w:tr>
    </w:tbl>
    <w:p>
      <w:pPr>
        <w:pStyle w:val="Heading3"/>
      </w:pPr>
      <w:bookmarkStart w:id="6" w:name="_Toc6"/>
      <w:r>
        <w:t>THE CHALLENGE</w:t>
      </w:r>
      <w:bookmarkEnd w:id="6"/>
    </w:p>
    <w:p>
      <w:pPr>
        <w:pStyle w:val="Heading4"/>
      </w:pPr>
      <w:bookmarkStart w:id="7" w:name="_Toc7"/>
      <w:r>
        <w:t>Governance Environment</w:t>
      </w:r>
      <w:bookmarkEnd w:id="7"/>
    </w:p>
    <w:p>
      <w:pPr>
        <w:pStyle w:val="Normal"/>
      </w:pPr>
      <w:r>
        <w:rPr>
          <w:color w:val="333333"/>
          <w:sz w:val="22"/>
          <w:szCs w:val="22"/>
        </w:rPr>
        <w:t xml:space="preserve">[1-2 paragraphs describing the governance context — regulatory requirements, oversight expectations, the volume and complexity of board operations at this institution.]</w:t>
      </w:r>
    </w:p>
    <w:p>
      <w:pPr>
        <w:pStyle w:val="Normal"/>
      </w:pPr>
      <w:r>
        <w:rPr>
          <w:color w:val="333333"/>
          <w:sz w:val="22"/>
          <w:szCs w:val="22"/>
          <w:i w:val="1"/>
          <w:iCs w:val="1"/>
        </w:rPr>
        <w:t xml:space="preserve">Example framework:</w:t>
      </w:r>
      <w:r>
        <w:rPr>
          <w:color w:val="333333"/>
          <w:sz w:val="22"/>
          <w:szCs w:val="22"/>
        </w:rPr>
        <w:t xml:space="preserve">Example framework:</w:t>
      </w:r>
    </w:p>
    <w:p>
      <w:pPr>
        <w:pStyle w:val="Normal"/>
      </w:pPr>
      <w:r>
        <w:rPr>
          <w:color w:val="333333"/>
          <w:sz w:val="22"/>
          <w:szCs w:val="22"/>
        </w:rPr>
        <w:t xml:space="preserve">[Organisation Name] operates under the oversight of [parent ministry/regulator] and is required to maintain rigorous governance standards in line with [relevant legislation, e.g., the State Corporations Act, the Mwongozo Code of Governance for State Corporations]. The board meets [frequency] and oversees [scope of operations]. With [number] board members serving on [number] committees, the volume of governance documentation — board papers, notices, minutes, and resolutions — is substantial.</w:t>
      </w:r>
    </w:p>
    <w:p>
      <w:pPr>
        <w:pStyle w:val="Heading4"/>
      </w:pPr>
      <w:bookmarkStart w:id="8" w:name="_Toc8"/>
      <w:r>
        <w:t>Specific Pain Points</w:t>
      </w:r>
      <w:bookmarkEnd w:id="8"/>
    </w:p>
    <w:p>
      <w:pPr>
        <w:pStyle w:val="Normal"/>
      </w:pPr>
      <w:r>
        <w:rPr>
          <w:color w:val="333333"/>
          <w:sz w:val="22"/>
          <w:szCs w:val="22"/>
        </w:rPr>
        <w:t xml:space="preserve">[Use bullet points to list the specific challenges the organisation faced before E-Board. Select from the following and customise:]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Board paper preparation and distribution:</w:t>
      </w:r>
      <w:r>
        <w:rPr>
          <w:color w:val="333333"/>
          <w:sz w:val="22"/>
          <w:szCs w:val="22"/>
        </w:rPr>
        <w:t xml:space="preserve">Board paper preparation and distribution:</w:t>
      </w:r>
      <w:r>
        <w:rPr>
          <w:color w:val="333333"/>
          <w:sz w:val="22"/>
          <w:szCs w:val="22"/>
        </w:rPr>
        <w:t xml:space="preserve"> [Describe the manual process — printing, binding, physical delivery, costs, time required]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Version control:</w:t>
      </w:r>
      <w:r>
        <w:rPr>
          <w:color w:val="333333"/>
          <w:sz w:val="22"/>
          <w:szCs w:val="22"/>
        </w:rPr>
        <w:t xml:space="preserve">Version control:</w:t>
      </w:r>
      <w:r>
        <w:rPr>
          <w:color w:val="333333"/>
          <w:sz w:val="22"/>
          <w:szCs w:val="22"/>
        </w:rPr>
        <w:t xml:space="preserve"> [Papers circulated via email with multiple versions creating confusion]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Meeting notice compliance:</w:t>
      </w:r>
      <w:r>
        <w:rPr>
          <w:color w:val="333333"/>
          <w:sz w:val="22"/>
          <w:szCs w:val="22"/>
        </w:rPr>
        <w:t xml:space="preserve">Meeting notice compliance:</w:t>
      </w:r>
      <w:r>
        <w:rPr>
          <w:color w:val="333333"/>
          <w:sz w:val="22"/>
          <w:szCs w:val="22"/>
        </w:rPr>
        <w:t xml:space="preserve"> [Difficulty ensuring 10-day advance notice was consistently met]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Conflict of interest management:</w:t>
      </w:r>
      <w:r>
        <w:rPr>
          <w:color w:val="333333"/>
          <w:sz w:val="22"/>
          <w:szCs w:val="22"/>
        </w:rPr>
        <w:t xml:space="preserve">Conflict of interest management:</w:t>
      </w:r>
      <w:r>
        <w:rPr>
          <w:color w:val="333333"/>
          <w:sz w:val="22"/>
          <w:szCs w:val="22"/>
        </w:rPr>
        <w:t xml:space="preserve"> [Paper-based or absent; no verification mechanism]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Resolution tracking:</w:t>
      </w:r>
      <w:r>
        <w:rPr>
          <w:color w:val="333333"/>
          <w:sz w:val="22"/>
          <w:szCs w:val="22"/>
        </w:rPr>
        <w:t xml:space="preserve">Resolution tracking:</w:t>
      </w:r>
      <w:r>
        <w:rPr>
          <w:color w:val="333333"/>
          <w:sz w:val="22"/>
          <w:szCs w:val="22"/>
        </w:rPr>
        <w:t xml:space="preserve"> [Resolutions captured in minutes but not systematically tracked; no accountability mechanism]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Audit trail:</w:t>
      </w:r>
      <w:r>
        <w:rPr>
          <w:color w:val="333333"/>
          <w:sz w:val="22"/>
          <w:szCs w:val="22"/>
        </w:rPr>
        <w:t xml:space="preserve">Audit trail:</w:t>
      </w:r>
      <w:r>
        <w:rPr>
          <w:color w:val="333333"/>
          <w:sz w:val="22"/>
          <w:szCs w:val="22"/>
        </w:rPr>
        <w:t xml:space="preserve"> [No centralised record of governance actions; difficult to respond to audit queries]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Document management:</w:t>
      </w:r>
      <w:r>
        <w:rPr>
          <w:color w:val="333333"/>
          <w:sz w:val="22"/>
          <w:szCs w:val="22"/>
        </w:rPr>
        <w:t xml:space="preserve">Document management:</w:t>
      </w:r>
      <w:r>
        <w:rPr>
          <w:color w:val="333333"/>
          <w:sz w:val="22"/>
          <w:szCs w:val="22"/>
        </w:rPr>
        <w:t xml:space="preserve"> [Governance documents scattered across email accounts, shared drives, and physical files]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Accessibility:</w:t>
      </w:r>
      <w:r>
        <w:rPr>
          <w:color w:val="333333"/>
          <w:sz w:val="22"/>
          <w:szCs w:val="22"/>
        </w:rPr>
        <w:t xml:space="preserve">Accessibility:</w:t>
      </w:r>
      <w:r>
        <w:rPr>
          <w:color w:val="333333"/>
          <w:sz w:val="22"/>
          <w:szCs w:val="22"/>
        </w:rPr>
        <w:t xml:space="preserve"> [Board members unable to access papers remotely or on mobile devices]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Administrative burden:</w:t>
      </w:r>
      <w:r>
        <w:rPr>
          <w:color w:val="333333"/>
          <w:sz w:val="22"/>
          <w:szCs w:val="22"/>
        </w:rPr>
        <w:t xml:space="preserve">Administrative burden:</w:t>
      </w:r>
      <w:r>
        <w:rPr>
          <w:color w:val="333333"/>
          <w:sz w:val="22"/>
          <w:szCs w:val="22"/>
        </w:rPr>
        <w:t xml:space="preserve"> [Significant staff time spent on printing, distribution, and follow-up]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Cost:</w:t>
      </w:r>
      <w:r>
        <w:rPr>
          <w:color w:val="333333"/>
          <w:sz w:val="22"/>
          <w:szCs w:val="22"/>
        </w:rPr>
        <w:t xml:space="preserve">Cost:</w:t>
      </w:r>
      <w:r>
        <w:rPr>
          <w:color w:val="333333"/>
          <w:sz w:val="22"/>
          <w:szCs w:val="22"/>
        </w:rPr>
        <w:t xml:space="preserve"> [Paper, printing, binding, courier, and storage costs]</w:t>
      </w:r>
    </w:p>
    <w:p>
      <w:pPr>
        <w:pStyle w:val="Heading4"/>
      </w:pPr>
      <w:bookmarkStart w:id="9" w:name="_Toc9"/>
      <w:r>
        <w:t>The Trigger</w:t>
      </w:r>
      <w:bookmarkEnd w:id="9"/>
    </w:p>
    <w:p>
      <w:pPr>
        <w:pStyle w:val="Normal"/>
      </w:pPr>
      <w:r>
        <w:rPr>
          <w:color w:val="333333"/>
          <w:sz w:val="22"/>
          <w:szCs w:val="22"/>
        </w:rPr>
        <w:t xml:space="preserve">[What prompted the organisation to seek a digital solution? Examples:]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An audit finding related to governance documentation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 directive from the parent ministry to digitize operations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 new Corporation Secretary or CEO committed to modernisation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Increasing board size or meeting frequency making manual processes unsustainable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 specific governance failure that exposed the limitations of manual processes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Government-wide digital transformation initiatives</w:t>
      </w:r>
    </w:p>
    <w:p>
      <w:pPr>
        <w:pStyle w:val="Heading3"/>
      </w:pPr>
      <w:bookmarkStart w:id="10" w:name="_Toc10"/>
      <w:r>
        <w:t>THE EXISTING PROCESS</w:t>
      </w:r>
      <w:bookmarkEnd w:id="10"/>
    </w:p>
    <w:p>
      <w:pPr>
        <w:pStyle w:val="Normal"/>
      </w:pPr>
      <w:r>
        <w:rPr>
          <w:color w:val="333333"/>
          <w:sz w:val="22"/>
          <w:szCs w:val="22"/>
        </w:rPr>
        <w:t xml:space="preserve">[Describe the board governance process before E-Board implementation. Be specific about workflows, tools used, and pain points at each stage.]</w:t>
      </w:r>
    </w:p>
    <w:p>
      <w:pPr>
        <w:pStyle w:val="Heading4"/>
      </w:pPr>
      <w:bookmarkStart w:id="11" w:name="_Toc11"/>
      <w:r>
        <w:t>Before E-Board: How Board Meetings Were Managed</w:t>
      </w:r>
      <w:bookmarkEnd w:id="11"/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Stage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Process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Issues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**Meeting Planning**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"Dates set informally via email and phone calls"]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"No central calendar; scheduling conflicts common"]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**Paper Preparation**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"Papers drafted in Word, emailed to reviewers"]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"Multiple versions in circulation; no audit trail of changes"]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**Paper Review**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"Emailed to CEO for review; feedback given verbally or via email"]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"No structured review process; papers sometimes submitted without proper review"]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**Notice Distribution**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"Notices emailed to board members individually"]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"No confirmation of receipt; 10-day notice sometimes missed"]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**Paper Distribution**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"Printed in [number] copies, bound, and delivered by courier/driver"]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"Cost of KES [amount] per meeting; late delivery to some members"]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**Meeting Day**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"Attendance recorded on a sign-in sheet; conflict of interest on a paper form"]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"Forms sometimes not completed; no verification of declarations"]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**Minutes**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"Typed after the meeting from handwritten notes"]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"Delay of [days/weeks]; accuracy concerns"]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**Resolutions**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"Listed in the minutes; tracked in a spreadsheet by the Corporation Secretary"]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"No automated follow-up; resolutions often not tracked to completion"]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**Document Storage**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"Physical files in the Corporation Secretary's office; some on shared drives"]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"Difficult to retrieve historical documents; risk of loss"]</w:t>
            </w:r>
          </w:p>
        </w:tc>
      </w:tr>
    </w:tbl>
    <w:p>
      <w:pPr>
        <w:pStyle w:val="Heading3"/>
      </w:pPr>
      <w:bookmarkStart w:id="12" w:name="_Toc12"/>
      <w:r>
        <w:t>THE SOLUTION: E-BOARD IMPLEMENTATION</w:t>
      </w:r>
      <w:bookmarkEnd w:id="12"/>
    </w:p>
    <w:p>
      <w:pPr>
        <w:pStyle w:val="Heading4"/>
      </w:pPr>
      <w:bookmarkStart w:id="13" w:name="_Toc13"/>
      <w:r>
        <w:t>Why E-Board Was Selected</w:t>
      </w:r>
      <w:bookmarkEnd w:id="13"/>
    </w:p>
    <w:p>
      <w:pPr>
        <w:pStyle w:val="Normal"/>
      </w:pPr>
      <w:r>
        <w:rPr>
          <w:color w:val="333333"/>
          <w:sz w:val="22"/>
          <w:szCs w:val="22"/>
        </w:rPr>
        <w:t xml:space="preserve">[2-3 paragraphs explaining why the organisation chose E-Board over alternatives. Potential differentiators to highlight:]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Purpose-built for institutional governance (not a generic collaboration tool)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10-stage meeting workflow matching their governance requirements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Conflict of interest management with OTP verification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Comprehensive audit trail meeting oversight requirements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White-label branding allowing institutional identity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Role-based access matching their organisational structure (10 defined roles)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Kenyan financial year alignment (July–June)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Rapid deployment capability (setup wizard)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Cost-effectiveness compared to alternatives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Local support and understanding of Kenyan governance requirements</w:t>
      </w:r>
    </w:p>
    <w:p>
      <w:pPr>
        <w:pStyle w:val="Heading4"/>
      </w:pPr>
      <w:bookmarkStart w:id="14" w:name="_Toc14"/>
      <w:r>
        <w:t>Platform Configuration</w:t>
      </w:r>
      <w:bookmarkEnd w:id="14"/>
    </w:p>
    <w:p>
      <w:pPr>
        <w:pStyle w:val="Normal"/>
      </w:pPr>
      <w:r>
        <w:rPr>
          <w:color w:val="333333"/>
          <w:sz w:val="22"/>
          <w:szCs w:val="22"/>
        </w:rPr>
        <w:t xml:space="preserve">[Describe how E-Board was configured for the organisation:]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Branding:</w:t>
      </w:r>
      <w:r>
        <w:rPr>
          <w:color w:val="333333"/>
          <w:sz w:val="22"/>
          <w:szCs w:val="22"/>
        </w:rPr>
        <w:t xml:space="preserve">Branding:</w:t>
      </w:r>
      <w:r>
        <w:rPr>
          <w:color w:val="333333"/>
          <w:sz w:val="22"/>
          <w:szCs w:val="22"/>
        </w:rPr>
        <w:t xml:space="preserve"> [Logo, institutional colours, letterhead, login background]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Organisational Structure:</w:t>
      </w:r>
      <w:r>
        <w:rPr>
          <w:color w:val="333333"/>
          <w:sz w:val="22"/>
          <w:szCs w:val="22"/>
        </w:rPr>
        <w:t xml:space="preserve">Organisational Structure:</w:t>
      </w:r>
      <w:r>
        <w:rPr>
          <w:color w:val="333333"/>
          <w:sz w:val="22"/>
          <w:szCs w:val="22"/>
        </w:rPr>
        <w:t xml:space="preserve"> [Number of directorates and divisions configured]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Board Committees:</w:t>
      </w:r>
      <w:r>
        <w:rPr>
          <w:color w:val="333333"/>
          <w:sz w:val="22"/>
          <w:szCs w:val="22"/>
        </w:rPr>
        <w:t xml:space="preserve">Board Committees:</w:t>
      </w:r>
      <w:r>
        <w:rPr>
          <w:color w:val="333333"/>
          <w:sz w:val="22"/>
          <w:szCs w:val="22"/>
        </w:rPr>
        <w:t xml:space="preserve"> [Committees set up, including audit committee designation]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User Roles:</w:t>
      </w:r>
      <w:r>
        <w:rPr>
          <w:color w:val="333333"/>
          <w:sz w:val="22"/>
          <w:szCs w:val="22"/>
        </w:rPr>
        <w:t xml:space="preserve">User Roles:</w:t>
      </w:r>
      <w:r>
        <w:rPr>
          <w:color w:val="333333"/>
          <w:sz w:val="22"/>
          <w:szCs w:val="22"/>
        </w:rPr>
        <w:t xml:space="preserve"> [Which of the 10 system roles were assigned and to whom]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Financial Year:</w:t>
      </w:r>
      <w:r>
        <w:rPr>
          <w:color w:val="333333"/>
          <w:sz w:val="22"/>
          <w:szCs w:val="22"/>
        </w:rPr>
        <w:t xml:space="preserve">Financial Year:</w:t>
      </w:r>
      <w:r>
        <w:rPr>
          <w:color w:val="333333"/>
          <w:sz w:val="22"/>
          <w:szCs w:val="22"/>
        </w:rPr>
        <w:t xml:space="preserve"> [July–June configuration]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Board Members:</w:t>
      </w:r>
      <w:r>
        <w:rPr>
          <w:color w:val="333333"/>
          <w:sz w:val="22"/>
          <w:szCs w:val="22"/>
        </w:rPr>
        <w:t xml:space="preserve">Board Members:</w:t>
      </w:r>
      <w:r>
        <w:rPr>
          <w:color w:val="333333"/>
          <w:sz w:val="22"/>
          <w:szCs w:val="22"/>
        </w:rPr>
        <w:t xml:space="preserve"> [Number of members onboarded; profile completeness achieved]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Email Configuration:</w:t>
      </w:r>
      <w:r>
        <w:rPr>
          <w:color w:val="333333"/>
          <w:sz w:val="22"/>
          <w:szCs w:val="22"/>
        </w:rPr>
        <w:t xml:space="preserve">Email Configuration:</w:t>
      </w:r>
      <w:r>
        <w:rPr>
          <w:color w:val="333333"/>
          <w:sz w:val="22"/>
          <w:szCs w:val="22"/>
        </w:rPr>
        <w:t xml:space="preserve"> [SMTP setup for automated notifications]</w:t>
      </w:r>
    </w:p>
    <w:p>
      <w:pPr>
        <w:pStyle w:val="Heading3"/>
      </w:pPr>
      <w:bookmarkStart w:id="15" w:name="_Toc15"/>
      <w:r>
        <w:t>IMPLEMENTATION DETAILS</w:t>
      </w:r>
      <w:bookmarkEnd w:id="15"/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Phase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Activities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Duration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**Phase 1: Configuration**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Platform setup using 6-step wizard; branding, structure, financial year, committees, roles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"2 days"]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**Phase 2: Data Migration**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Board member profiles, historical documents uploaded to repository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"3 days"]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**Phase 3: Training**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Role-specific training — Superadmin/Admin, Corporation Secretary, CEO, Board Members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"3 sessions over 1 week"]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**Phase 4: Pilot**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First board meeting conducted on the platform with support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"1 meeting"]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**Phase 5: Go-Live**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Full adoption for all board and committee meetings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"From [date]"]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**Total Duration**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Configuration to go-live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"3 weeks"]</w:t>
            </w:r>
          </w:p>
        </w:tc>
      </w:tr>
    </w:tbl>
    <w:p>
      <w:pPr>
        <w:pStyle w:val="Heading4"/>
      </w:pPr>
      <w:bookmarkStart w:id="16" w:name="_Toc16"/>
      <w:r>
        <w:t>Training Approach</w:t>
      </w:r>
      <w:bookmarkEnd w:id="16"/>
    </w:p>
    <w:tbl>
      <w:tblGrid>
        <w:gridCol/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User Group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Training Focus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Format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Duration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**Superadmin/Admin**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System configuration, user management, troubleshooting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"In-person workshop"]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"Half day"]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**Corporation Secretary**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Full meeting workflow, paper management, almanac, notices, minutes, resolutions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"In-person workshop"]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"Full day"]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**CEO**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Approval workflows, dashboard, resolution oversight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"One-on-one session"]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"1 hour"]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**Board Members**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Accessing papers, conflict of interest process, digital signatures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"Group session or individual onboarding"]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"1 hour"]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**Officers**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Paper preparation, annexure management, assignment completion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"Group workshop"]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"Half day"]</w:t>
            </w:r>
          </w:p>
        </w:tc>
      </w:tr>
    </w:tbl>
    <w:p>
      <w:pPr>
        <w:pStyle w:val="Heading3"/>
      </w:pPr>
      <w:bookmarkStart w:id="17" w:name="_Toc17"/>
      <w:r>
        <w:t>RESULTS</w:t>
      </w:r>
      <w:bookmarkEnd w:id="17"/>
    </w:p>
    <w:p>
      <w:pPr>
        <w:pStyle w:val="Heading4"/>
      </w:pPr>
      <w:bookmarkStart w:id="18" w:name="_Toc18"/>
      <w:r>
        <w:t>Quantitative Results</w:t>
      </w:r>
      <w:bookmarkEnd w:id="18"/>
    </w:p>
    <w:p>
      <w:pPr>
        <w:pStyle w:val="Normal"/>
      </w:pPr>
      <w:r>
        <w:rPr>
          <w:color w:val="333333"/>
          <w:sz w:val="22"/>
          <w:szCs w:val="22"/>
        </w:rPr>
        <w:t xml:space="preserve">[Present measurable outcomes. Use the metrics framework below to collect data:]</w:t>
      </w:r>
    </w:p>
    <w:tbl>
      <w:tblGrid>
        <w:gridCol/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Metric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Before E-Board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After E-Board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Improvement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**Paper preparation and distribution time**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"5 days"]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"Same day"]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"80% reduction"]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**Printing and binding cost per meeting**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"KES 45,000"]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"KES 0"]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"100% elimination"]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**Notice compliance (10-day advance)**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"70% of meetings"]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"100% of meetings"]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"Full compliance achieved"]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**Resolution tracking completion rate**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"40% tracked to closure"]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"95% tracked to closure"]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"55 percentage point improvement"]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**Conflict of interest declaration rate**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"Inconsistent"]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"100% with OTP verification"]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"Full compliance with verification"]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**Time to respond to audit queries (governance)**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"3-5 days to compile documents"]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"Immediate — PDF export"]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"From days to minutes"]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**Board paper versions in circulation**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"Multiple uncontrolled versions"]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"Single controlled version"]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"Version confusion eliminated"]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**Administrative staff time on board operations**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"15 person-days per meeting cycle"]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"5 person-days per meeting cycle"]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[e.g., "67% reduction"]</w:t>
            </w:r>
          </w:p>
        </w:tc>
      </w:tr>
    </w:tbl>
    <w:p>
      <w:pPr>
        <w:pStyle w:val="Heading4"/>
      </w:pPr>
      <w:bookmarkStart w:id="19" w:name="_Toc19"/>
      <w:r>
        <w:t>Qualitative Results</w:t>
      </w:r>
      <w:bookmarkEnd w:id="19"/>
    </w:p>
    <w:p>
      <w:pPr>
        <w:pStyle w:val="Normal"/>
      </w:pPr>
      <w:r>
        <w:rPr>
          <w:color w:val="333333"/>
          <w:sz w:val="22"/>
          <w:szCs w:val="22"/>
        </w:rPr>
        <w:t xml:space="preserve">[Select and customise from the following:]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Governance compliance:</w:t>
      </w:r>
      <w:r>
        <w:rPr>
          <w:color w:val="333333"/>
          <w:sz w:val="22"/>
          <w:szCs w:val="22"/>
        </w:rPr>
        <w:t xml:space="preserve">Governance compliance:</w:t>
      </w:r>
      <w:r>
        <w:rPr>
          <w:color w:val="333333"/>
          <w:sz w:val="22"/>
          <w:szCs w:val="22"/>
        </w:rPr>
        <w:t xml:space="preserve"> [e.g., "The organisation now maintains a complete, auditable governance trail. Every action — from paper submission to CEO approval to board member attendance — is logged with timestamps, user identity, and IP address."]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Accountability:</w:t>
      </w:r>
      <w:r>
        <w:rPr>
          <w:color w:val="333333"/>
          <w:sz w:val="22"/>
          <w:szCs w:val="22"/>
        </w:rPr>
        <w:t xml:space="preserve">Accountability:</w:t>
      </w:r>
      <w:r>
        <w:rPr>
          <w:color w:val="333333"/>
          <w:sz w:val="22"/>
          <w:szCs w:val="22"/>
        </w:rPr>
        <w:t xml:space="preserve"> [e.g., "Board resolutions are no longer lost in minutes. Each resolution is assigned, tracked, and visible on the CEO's dashboard. Overdue items are flagged automatically."]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Accessibility:</w:t>
      </w:r>
      <w:r>
        <w:rPr>
          <w:color w:val="333333"/>
          <w:sz w:val="22"/>
          <w:szCs w:val="22"/>
        </w:rPr>
        <w:t xml:space="preserve">Accessibility:</w:t>
      </w:r>
      <w:r>
        <w:rPr>
          <w:color w:val="333333"/>
          <w:sz w:val="22"/>
          <w:szCs w:val="22"/>
        </w:rPr>
        <w:t xml:space="preserve"> [e.g., "Board members now access their papers through an iPad-optimised portal, eliminating the need for printed packs and enabling preparation from any location."]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Efficiency:</w:t>
      </w:r>
      <w:r>
        <w:rPr>
          <w:color w:val="333333"/>
          <w:sz w:val="22"/>
          <w:szCs w:val="22"/>
        </w:rPr>
        <w:t xml:space="preserve">Efficiency:</w:t>
      </w:r>
      <w:r>
        <w:rPr>
          <w:color w:val="333333"/>
          <w:sz w:val="22"/>
          <w:szCs w:val="22"/>
        </w:rPr>
        <w:t xml:space="preserve"> [e.g., "The Corporation Secretary's office has been freed from the administrative burden of printing, binding, and distributing board papers, allowing focus on substantive governance work."]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Security:</w:t>
      </w:r>
      <w:r>
        <w:rPr>
          <w:color w:val="333333"/>
          <w:sz w:val="22"/>
          <w:szCs w:val="22"/>
        </w:rPr>
        <w:t xml:space="preserve">Security:</w:t>
      </w:r>
      <w:r>
        <w:rPr>
          <w:color w:val="333333"/>
          <w:sz w:val="22"/>
          <w:szCs w:val="22"/>
        </w:rPr>
        <w:t xml:space="preserve"> [e.g., "Document access is controlled by role and visibility level, with every download tracked. Two-factor authentication protects system access."]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Professionalism:</w:t>
      </w:r>
      <w:r>
        <w:rPr>
          <w:color w:val="333333"/>
          <w:sz w:val="22"/>
          <w:szCs w:val="22"/>
        </w:rPr>
        <w:t xml:space="preserve">Professionalism:</w:t>
      </w:r>
      <w:r>
        <w:rPr>
          <w:color w:val="333333"/>
          <w:sz w:val="22"/>
          <w:szCs w:val="22"/>
        </w:rPr>
        <w:t xml:space="preserve"> [e.g., "Board notices, papers, and minutes now carry consistent institutional branding through the white-label configuration."]</w:t>
      </w:r>
    </w:p>
    <w:p>
      <w:pPr>
        <w:pStyle w:val="Heading3"/>
      </w:pPr>
      <w:bookmarkStart w:id="20" w:name="_Toc20"/>
      <w:r>
        <w:t>BENEFITS SUMMARY</w:t>
      </w:r>
      <w:bookmarkEnd w:id="20"/>
    </w:p>
    <w:p>
      <w:pPr>
        <w:pStyle w:val="Heading4"/>
      </w:pPr>
      <w:bookmarkStart w:id="21" w:name="_Toc21"/>
      <w:r>
        <w:t>For the Board</w:t>
      </w:r>
      <w:bookmarkEnd w:id="21"/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Access board papers digitally from any location via iPad-optimised portal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Clear conflict of interest process with OTP verification and digital signature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Visibility into resolution status and institutional follow-through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Professional, branded governance documentation</w:t>
      </w:r>
    </w:p>
    <w:p>
      <w:pPr>
        <w:pStyle w:val="Heading4"/>
      </w:pPr>
      <w:bookmarkStart w:id="22" w:name="_Toc22"/>
      <w:r>
        <w:t>For the Corporation Secretary</w:t>
      </w:r>
      <w:bookmarkEnd w:id="22"/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Structured 10-stage workflow replacing ad hoc processes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Automated notifications eliminating manual follow-up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Board paper versioning with complete change history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Almanac management with CEO approval and PDF generation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Minutes captured in real time and exportable to Word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Conflict of interest register maintained automatically</w:t>
      </w:r>
    </w:p>
    <w:p>
      <w:pPr>
        <w:pStyle w:val="Heading4"/>
      </w:pPr>
      <w:bookmarkStart w:id="23" w:name="_Toc23"/>
      <w:r>
        <w:t>For the CEO</w:t>
      </w:r>
      <w:bookmarkEnd w:id="23"/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Approval workflows for notices, almanac, and board papers directly in the platform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Dashboard visibility into board operations and resolution status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Confidence that governance processes are being followed consistently</w:t>
      </w:r>
    </w:p>
    <w:p>
      <w:pPr>
        <w:pStyle w:val="Heading4"/>
      </w:pPr>
      <w:bookmarkStart w:id="24" w:name="_Toc24"/>
      <w:r>
        <w:t>For Internal Audit</w:t>
      </w:r>
      <w:bookmarkEnd w:id="24"/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Comprehensive audit trail with before/after values for every action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IP address tracking for all system access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PDF export of the complete audit trail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Conflict of interest register with verified declarations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Download tracking for all documents in the repository</w:t>
      </w:r>
    </w:p>
    <w:p>
      <w:pPr>
        <w:pStyle w:val="Heading4"/>
      </w:pPr>
      <w:bookmarkStart w:id="25" w:name="_Toc25"/>
      <w:r>
        <w:t>For the Institution</w:t>
      </w:r>
      <w:bookmarkEnd w:id="25"/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Elimination of paper, printing, binding, and courier costs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Reduced administrative burden on governance staff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Compliance with governance standards and oversight requirements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Institutional knowledge preserved in a secure, searchable digital repository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Professional institutional image through consistent branding</w:t>
      </w:r>
    </w:p>
    <w:p>
      <w:pPr>
        <w:pStyle w:val="Heading3"/>
      </w:pPr>
      <w:bookmarkStart w:id="26" w:name="_Toc26"/>
      <w:r>
        <w:t>TESTIMONIAL</w:t>
      </w:r>
      <w:bookmarkEnd w:id="26"/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"[INSERT QUOTE — 2-4 sentences from a senior stakeholder such as the Corporation Secretary, CEO, or Board Chairperson. The quote should speak to the specific impact on their role and the institution's governance.]"</w:t>
      </w:r>
    </w:p>
    <w:p>
      <w:pPr>
        <w:pStyle w:val="Quote"/>
      </w:pPr>
    </w:p>
    <w:p>
      <w:pPr>
        <w:pStyle w:val="Quote"/>
      </w:pPr>
      <w:r>
        <w:rPr>
          <w:color w:val="555555"/>
          <w:sz w:val="22"/>
          <w:szCs w:val="22"/>
          <w:i w:val="1"/>
          <w:iCs w:val="1"/>
        </w:rPr>
        <w:t xml:space="preserve">— </w:t>
      </w:r>
      <w:r>
        <w:rPr>
          <w:color w:val="2C3E50"/>
          <w:sz w:val="22"/>
          <w:szCs w:val="22"/>
          <w:b w:val="1"/>
          <w:bCs w:val="1"/>
          <w:i w:val="1"/>
          <w:iCs w:val="1"/>
        </w:rPr>
        <w:t xml:space="preserve">[Name]</w:t>
      </w:r>
      <w:r>
        <w:rPr>
          <w:color w:val="555555"/>
          <w:sz w:val="22"/>
          <w:szCs w:val="22"/>
          <w:i w:val="1"/>
          <w:iCs w:val="1"/>
        </w:rPr>
        <w:t xml:space="preserve">[Name]</w:t>
      </w:r>
      <w:r>
        <w:rPr>
          <w:color w:val="555555"/>
          <w:sz w:val="22"/>
          <w:szCs w:val="22"/>
          <w:i w:val="1"/>
          <w:iCs w:val="1"/>
        </w:rPr>
        <w:t xml:space="preserve">, [Title], [Organisation Name]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Guidance for collecting testimonials:</w:t>
      </w:r>
      <w:r>
        <w:rPr>
          <w:color w:val="333333"/>
          <w:sz w:val="22"/>
          <w:szCs w:val="22"/>
        </w:rPr>
        <w:t xml:space="preserve">Guidance for collecting testimonials: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Ask the Corporation Secretary about efficiency improvements in their daily work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Ask the CEO about visibility into governance operations and resolution tracking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Ask a Board Member about the experience of accessing papers digitally and the conflict of interest process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Ask the Board Chairperson about the overall improvement in governance standards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Keep quotes specific — avoid generic praise; focus on measurable or observable changes</w:t>
      </w:r>
    </w:p>
    <w:p>
      <w:pPr>
        <w:pStyle w:val="Heading3"/>
      </w:pPr>
      <w:bookmarkStart w:id="27" w:name="_Toc27"/>
      <w:r>
        <w:t>ABOUT E-BOARD</w:t>
      </w:r>
      <w:bookmarkEnd w:id="27"/>
    </w:p>
    <w:p>
      <w:pPr>
        <w:pStyle w:val="Normal"/>
      </w:pPr>
      <w:r>
        <w:rPr>
          <w:color w:val="333333"/>
          <w:sz w:val="22"/>
          <w:szCs w:val="22"/>
        </w:rPr>
        <w:t xml:space="preserve">E-Board by Losvinca is a digital board governance platform designed for government institutions, state corporations, and organisations with formal boards. The platform digitizes the complete board meeting lifecycle — from paper preparation through meeting management to resolution tracking — with comprehensive audit trails, conflict of interest management, and role-based security.</w:t>
      </w:r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Contact:</w:t>
      </w:r>
      <w:r>
        <w:rPr>
          <w:color w:val="333333"/>
          <w:sz w:val="22"/>
          <w:szCs w:val="22"/>
        </w:rPr>
        <w:t xml:space="preserve">Contact: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Email: [EMAIL]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Phone: [PHONE]</w:t>
      </w:r>
    </w:p>
    <w:p>
      <w:pPr>
        <w:pStyle w:val="ListBullet"/>
        <w:numPr>
          <w:ilvl w:val="0"/>
          <w:numId w:val="8"/>
        </w:numPr>
      </w:pPr>
      <w:r>
        <w:rPr>
          <w:color w:val="333333"/>
          <w:sz w:val="22"/>
          <w:szCs w:val="22"/>
        </w:rPr>
        <w:t xml:space="preserve">Website: [URL]</w:t>
      </w:r>
    </w:p>
    <w:p>
      <w:pPr>
        <w:pStyle w:val="Heading3"/>
      </w:pPr>
      <w:bookmarkStart w:id="28" w:name="_Toc28"/>
      <w:r>
        <w:t>CALL TO ACTION</w:t>
      </w:r>
      <w:bookmarkEnd w:id="28"/>
    </w:p>
    <w:p>
      <w:pPr>
        <w:pStyle w:val="Normal"/>
      </w:pPr>
      <w:r>
        <w:rPr>
          <w:color w:val="2C3E50"/>
          <w:sz w:val="22"/>
          <w:szCs w:val="22"/>
          <w:b w:val="1"/>
          <w:bCs w:val="1"/>
        </w:rPr>
        <w:t xml:space="preserve">Is your institution ready to digitize board governance?</w:t>
      </w:r>
      <w:r>
        <w:rPr>
          <w:color w:val="333333"/>
          <w:sz w:val="22"/>
          <w:szCs w:val="22"/>
        </w:rPr>
        <w:t xml:space="preserve">Is your institution ready to digitize board governance?</w:t>
      </w:r>
    </w:p>
    <w:p>
      <w:pPr>
        <w:pStyle w:val="Normal"/>
      </w:pPr>
      <w:r>
        <w:rPr>
          <w:color w:val="333333"/>
          <w:sz w:val="22"/>
          <w:szCs w:val="22"/>
        </w:rPr>
        <w:t xml:space="preserve">Schedule a personalised demonstration to see how E-Board can be configured for your organisation's specific requirements.</w:t>
      </w:r>
    </w:p>
    <w:p>
      <w:pPr>
        <w:pStyle w:val="Normal"/>
      </w:pPr>
      <w:r>
        <w:rPr>
          <w:color w:val="333333"/>
          <w:sz w:val="22"/>
          <w:szCs w:val="22"/>
        </w:rPr>
        <w:t xml:space="preserve">[Contact details]</w:t>
      </w:r>
    </w:p>
    <w:p>
      <w:pPr>
        <w:pStyle w:val="Normal"/>
      </w:pPr>
      <w:r>
        <w:rPr>
          <w:color w:val="333333"/>
          <w:sz w:val="22"/>
          <w:szCs w:val="22"/>
        </w:rPr>
        <w:t xml:space="preserve">[Scheduling link]</w:t>
      </w:r>
    </w:p>
    <w:p>
      <w:pPr>
        <w:pStyle w:val="Heading2"/>
      </w:pPr>
      <w:bookmarkStart w:id="29" w:name="_Toc29"/>
      <w:r>
        <w:t>METRICS COLLECTION FRAMEWORK</w:t>
      </w:r>
      <w:bookmarkEnd w:id="29"/>
    </w:p>
    <w:p>
      <w:pPr>
        <w:pStyle w:val="Heading3"/>
      </w:pPr>
      <w:bookmarkStart w:id="30" w:name="_Toc30"/>
      <w:r>
        <w:t>Metrics to Collect from Customers for Stronger Case Studies</w:t>
      </w:r>
      <w:bookmarkEnd w:id="30"/>
    </w:p>
    <w:p>
      <w:pPr>
        <w:pStyle w:val="Normal"/>
      </w:pPr>
      <w:r>
        <w:rPr>
          <w:color w:val="333333"/>
          <w:sz w:val="22"/>
          <w:szCs w:val="22"/>
        </w:rPr>
        <w:t xml:space="preserve">The following metrics should be collected at two points: (1) before E-Board implementation (baseline) and (2) after at least 3 board meeting cycles on the platform.</w:t>
      </w:r>
    </w:p>
    <w:p>
      <w:pPr>
        <w:pStyle w:val="Heading4"/>
      </w:pPr>
      <w:bookmarkStart w:id="31" w:name="_Toc31"/>
      <w:r>
        <w:t>Category 1: Time Savings</w:t>
      </w:r>
      <w:bookmarkEnd w:id="31"/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Metric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How to Measure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Why It Matters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**Board paper preparation time**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Time from first draft to final approved version (days)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Demonstrates workflow efficiency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**Board paper distribution time**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Time from CEO approval to delivery to all board members (hours/days)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Shows elimination of physical distribution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**Meeting notice preparation and distribution time**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Time from notice creation to delivery to all members (hours)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Demonstrates automation value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**Minutes preparation time**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Time from meeting conclusion to draft minutes available (days)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Shows real-time capture benefit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**Time to compile governance documents for audit**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Time to assemble requested governance records (hours/days)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Demonstrates audit readiness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**Administrative staff time per meeting cycle**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Person-days spent on board operations per meeting cycle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Quantifies labour savings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**Time for board members to access papers**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Time from paper availability to board member access (hours/days)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Shows instant digital access benefit</w:t>
            </w:r>
          </w:p>
        </w:tc>
      </w:tr>
    </w:tbl>
    <w:p>
      <w:pPr>
        <w:pStyle w:val="Heading4"/>
      </w:pPr>
      <w:bookmarkStart w:id="32" w:name="_Toc32"/>
      <w:r>
        <w:t>Category 2: Cost Reduction</w:t>
      </w:r>
      <w:bookmarkEnd w:id="32"/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Metric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How to Measure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Why It Matters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**Printing costs per meeting**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Total printing and photocopying costs per board/committee meeting (KES)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Direct, tangible saving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**Paper and binding materials per meeting**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Cost of paper, binding covers, and supplies (KES)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Additional tangible saving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**Courier/delivery costs per meeting**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Cost of delivering board packs to members (KES)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Especially significant for members in different locations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**Storage costs**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Cost of physical storage for governance documents (KES per year)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Long-term saving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**Annual total board operations cost**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Sum of all board-related operational costs (KES)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Headline number for executive summary</w:t>
            </w:r>
          </w:p>
        </w:tc>
      </w:tr>
    </w:tbl>
    <w:p>
      <w:pPr>
        <w:pStyle w:val="Heading4"/>
      </w:pPr>
      <w:bookmarkStart w:id="33" w:name="_Toc33"/>
      <w:r>
        <w:t>Category 3: Compliance and Governance</w:t>
      </w:r>
      <w:bookmarkEnd w:id="33"/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Metric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How to Measure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Why It Matters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**10-day notice compliance rate**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Percentage of meetings where notice was sent at least 10 days in advance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Demonstrates regulatory compliance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**Conflict of interest declaration rate**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Percentage of board members completing declarations per meeting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Shows governance rigour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**Conflict of interest verification rate**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Percentage of declarations verified with OTP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Shows accountability enhancement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**Resolution tracking rate**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Percentage of resolutions formally tracked after each meeting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Demonstrates follow-through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**Resolution completion rate**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Percentage of resolutions completed by due date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Shows institutional effectiveness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**Overdue resolution rate**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Percentage of resolutions past due date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Identifies accountability gaps (before vs. after)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**Audit trail completeness**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Whether every governance action is logged with user, timestamp, and details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Demonstrates audit readiness</w:t>
            </w:r>
          </w:p>
        </w:tc>
      </w:tr>
    </w:tbl>
    <w:p>
      <w:pPr>
        <w:pStyle w:val="Heading4"/>
      </w:pPr>
      <w:bookmarkStart w:id="34" w:name="_Toc34"/>
      <w:r>
        <w:t>Category 4: Adoption and Usage</w:t>
      </w:r>
      <w:bookmarkEnd w:id="34"/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Metric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How to Measure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Why It Matters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**Board member adoption rate**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Percentage of board members actively using the platform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Shows user acceptance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**Paper access rate**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Percentage of board members who access papers digitally before meetings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Demonstrates engagement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**Average profile completeness**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Average profile completeness score across board members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Shows data quality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**Number of board meetings conducted on platform**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Total meetings managed through E-Board since go-live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Shows sustained adoption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**Number of board papers processed**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Total papers created and reviewed through the platform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Shows workflow utilisation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**Number of resolutions tracked**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Total resolutions created and monitored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Shows resolution management adoption</w:t>
            </w:r>
          </w:p>
        </w:tc>
      </w:tr>
    </w:tbl>
    <w:p>
      <w:pPr>
        <w:pStyle w:val="Heading4"/>
      </w:pPr>
      <w:bookmarkStart w:id="35" w:name="_Toc35"/>
      <w:r>
        <w:t>Category 5: Qualitative Feedback</w:t>
      </w:r>
      <w:bookmarkEnd w:id="35"/>
    </w:p>
    <w:tbl>
      <w:tblGrid>
        <w:gridCol/>
        <w:gridCol/>
        <w:gridCol/>
      </w:tblGrid>
      <w:tblPr>
        <w:tblW w:w="0" w:type="auto"/>
        <w:tblLayout w:type="autofit"/>
        <w:bidiVisual w:val="0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r>
        <w:trPr/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Question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Ask Whom</w:t>
            </w:r>
          </w:p>
        </w:tc>
        <w:tc>
          <w:tcPr>
            <w:vAlign w:val="top"/>
            <w:shd w:val="clear" w:fill="1B4F72"/>
          </w:tcPr>
          <w:p>
            <w:pPr>
              <w:spacing w:after="20"/>
            </w:pPr>
            <w:r>
              <w:rPr>
                <w:color w:val="FFFFFF"/>
                <w:sz w:val="18"/>
                <w:szCs w:val="18"/>
                <w:b w:val="1"/>
                <w:bCs w:val="1"/>
              </w:rPr>
              <w:t xml:space="preserve">Why It Matters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"How has E-Board changed your daily governance workflow?"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Corporation Secretary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Personal efficiency story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"What is the most significant difference in how the board operates?"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CEO or Chairperson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Strategic governance improvement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"How do you find the experience of accessing board papers digitally?"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Board Members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User experience validation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"How has E-Board affected your ability to respond to audit queries?"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Internal Audit / Corporation Secretary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Compliance story</w:t>
            </w:r>
          </w:p>
        </w:tc>
      </w:tr>
      <w:tr>
        <w:trPr/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"What did you spend your time on before that you no longer need to?"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Administrative staff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Time reallocation story</w:t>
            </w:r>
          </w:p>
        </w:tc>
      </w:tr>
      <w:tr>
        <w:trPr/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"Would you recommend E-Board to a peer institution? Why?"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Any stakeholder</w:t>
            </w:r>
          </w:p>
        </w:tc>
        <w:tc>
          <w:tcPr>
            <w:vAlign w:val="top"/>
            <w:shd w:val="clear" w:fill="F8F9FA"/>
          </w:tcPr>
          <w:p>
            <w:pPr>
              <w:spacing w:after="20"/>
            </w:pPr>
            <w:r>
              <w:rPr>
                <w:color w:val="333333"/>
                <w:sz w:val="18"/>
                <w:szCs w:val="18"/>
              </w:rPr>
              <w:t xml:space="preserve">Referral potential and testimonial</w:t>
            </w:r>
          </w:p>
        </w:tc>
      </w:tr>
    </w:tbl>
    <w:p>
      <w:pPr>
        <w:pStyle w:val="Heading3"/>
      </w:pPr>
      <w:bookmarkStart w:id="36" w:name="_Toc36"/>
      <w:r>
        <w:t>Data Collection Approach</w:t>
      </w:r>
      <w:bookmarkEnd w:id="36"/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Baseline survey:</w:t>
      </w:r>
      <w:r>
        <w:rPr>
          <w:color w:val="333333"/>
          <w:sz w:val="22"/>
          <w:szCs w:val="22"/>
        </w:rPr>
        <w:t xml:space="preserve">Baseline survey:</w:t>
      </w:r>
      <w:r>
        <w:rPr>
          <w:color w:val="333333"/>
          <w:sz w:val="22"/>
          <w:szCs w:val="22"/>
        </w:rPr>
        <w:t xml:space="preserve"> Before implementation, ask the Corporation Secretary and administrative staff to document current metrics (time, cost, compliance rates)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Post-implementation survey:</w:t>
      </w:r>
      <w:r>
        <w:rPr>
          <w:color w:val="333333"/>
          <w:sz w:val="22"/>
          <w:szCs w:val="22"/>
        </w:rPr>
        <w:t xml:space="preserve">Post-implementation survey:</w:t>
      </w:r>
      <w:r>
        <w:rPr>
          <w:color w:val="333333"/>
          <w:sz w:val="22"/>
          <w:szCs w:val="22"/>
        </w:rPr>
        <w:t xml:space="preserve"> After 3 full meeting cycles on E-Board, collect the same metrics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Qualitative interviews:</w:t>
      </w:r>
      <w:r>
        <w:rPr>
          <w:color w:val="333333"/>
          <w:sz w:val="22"/>
          <w:szCs w:val="22"/>
        </w:rPr>
        <w:t xml:space="preserve">Qualitative interviews:</w:t>
      </w:r>
      <w:r>
        <w:rPr>
          <w:color w:val="333333"/>
          <w:sz w:val="22"/>
          <w:szCs w:val="22"/>
        </w:rPr>
        <w:t xml:space="preserve"> 15-20 minute conversations with 3-4 stakeholders (Corporation Secretary, CEO, one Board Member, Internal Audit)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Platform data:</w:t>
      </w:r>
      <w:r>
        <w:rPr>
          <w:color w:val="333333"/>
          <w:sz w:val="22"/>
          <w:szCs w:val="22"/>
        </w:rPr>
        <w:t xml:space="preserve">Platform data:</w:t>
      </w:r>
      <w:r>
        <w:rPr>
          <w:color w:val="333333"/>
          <w:sz w:val="22"/>
          <w:szCs w:val="22"/>
        </w:rPr>
        <w:t xml:space="preserve"> Extract usage statistics from E-Board (papers processed, meetings conducted, resolutions tracked, audit trail entries)</w:t>
      </w:r>
    </w:p>
    <w:p>
      <w:pPr>
        <w:pStyle w:val="ListBullet"/>
        <w:numPr>
          <w:ilvl w:val="0"/>
          <w:numId w:val="9"/>
        </w:numPr>
      </w:pPr>
      <w:r>
        <w:rPr>
          <w:color w:val="2C3E50"/>
          <w:sz w:val="22"/>
          <w:szCs w:val="22"/>
          <w:b w:val="1"/>
          <w:bCs w:val="1"/>
        </w:rPr>
        <w:t xml:space="preserve">Financial records:</w:t>
      </w:r>
      <w:r>
        <w:rPr>
          <w:color w:val="333333"/>
          <w:sz w:val="22"/>
          <w:szCs w:val="22"/>
        </w:rPr>
        <w:t xml:space="preserve">Financial records:</w:t>
      </w:r>
      <w:r>
        <w:rPr>
          <w:color w:val="333333"/>
          <w:sz w:val="22"/>
          <w:szCs w:val="22"/>
        </w:rPr>
        <w:t xml:space="preserve"> Request printing, courier, and storage invoices for before/after comparison</w:t>
      </w:r>
    </w:p>
    <w:p>
      <w:pPr>
        <w:pStyle w:val="Heading3"/>
      </w:pPr>
      <w:bookmarkStart w:id="37" w:name="_Toc37"/>
      <w:r>
        <w:t>Case Study Writing Guidelines</w:t>
      </w:r>
      <w:bookmarkEnd w:id="37"/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Use specific numbers wherever possible</w:t>
      </w:r>
      <w:r>
        <w:rPr>
          <w:color w:val="333333"/>
          <w:sz w:val="22"/>
          <w:szCs w:val="22"/>
        </w:rPr>
        <w:t xml:space="preserve">Use specific numbers wherever possible</w:t>
      </w:r>
      <w:r>
        <w:rPr>
          <w:color w:val="333333"/>
          <w:sz w:val="22"/>
          <w:szCs w:val="22"/>
        </w:rPr>
        <w:t xml:space="preserve"> — "reduced from 5 days to same-day" is stronger than "significantly reduced"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Let the customer's words tell the story</w:t>
      </w:r>
      <w:r>
        <w:rPr>
          <w:color w:val="333333"/>
          <w:sz w:val="22"/>
          <w:szCs w:val="22"/>
        </w:rPr>
        <w:t xml:space="preserve">Let the customer's words tell the story</w:t>
      </w:r>
      <w:r>
        <w:rPr>
          <w:color w:val="333333"/>
          <w:sz w:val="22"/>
          <w:szCs w:val="22"/>
        </w:rPr>
        <w:t xml:space="preserve"> — direct quotes are more credible than your description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Focus on outcomes, not features</w:t>
      </w:r>
      <w:r>
        <w:rPr>
          <w:color w:val="333333"/>
          <w:sz w:val="22"/>
          <w:szCs w:val="22"/>
        </w:rPr>
        <w:t xml:space="preserve">Focus on outcomes, not features</w:t>
      </w:r>
      <w:r>
        <w:rPr>
          <w:color w:val="333333"/>
          <w:sz w:val="22"/>
          <w:szCs w:val="22"/>
        </w:rPr>
        <w:t xml:space="preserve"> — "100% conflict of interest compliance with OTP verification" rather than "the platform has OTP"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Include the before picture</w:t>
      </w:r>
      <w:r>
        <w:rPr>
          <w:color w:val="333333"/>
          <w:sz w:val="22"/>
          <w:szCs w:val="22"/>
        </w:rPr>
        <w:t xml:space="preserve">Include the before picture</w:t>
      </w:r>
      <w:r>
        <w:rPr>
          <w:color w:val="333333"/>
          <w:sz w:val="22"/>
          <w:szCs w:val="22"/>
        </w:rPr>
        <w:t xml:space="preserve"> — readers need to understand the starting point to appreciate the improvement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Keep it to 2-3 pages</w:t>
      </w:r>
      <w:r>
        <w:rPr>
          <w:color w:val="333333"/>
          <w:sz w:val="22"/>
          <w:szCs w:val="22"/>
        </w:rPr>
        <w:t xml:space="preserve">Keep it to 2-3 pages</w:t>
      </w:r>
      <w:r>
        <w:rPr>
          <w:color w:val="333333"/>
          <w:sz w:val="22"/>
          <w:szCs w:val="22"/>
        </w:rPr>
        <w:t xml:space="preserve"> — decision-makers do not read long case studies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Use institutional language</w:t>
      </w:r>
      <w:r>
        <w:rPr>
          <w:color w:val="333333"/>
          <w:sz w:val="22"/>
          <w:szCs w:val="22"/>
        </w:rPr>
        <w:t xml:space="preserve">Use institutional language</w:t>
      </w:r>
      <w:r>
        <w:rPr>
          <w:color w:val="333333"/>
          <w:sz w:val="22"/>
          <w:szCs w:val="22"/>
        </w:rPr>
        <w:t xml:space="preserve"> — match the formality expected in government and institutional contexts</w:t>
      </w:r>
    </w:p>
    <w:p>
      <w:pPr>
        <w:pStyle w:val="ListBullet"/>
        <w:numPr>
          <w:ilvl w:val="0"/>
          <w:numId w:val="8"/>
        </w:numPr>
      </w:pPr>
      <w:r>
        <w:rPr>
          <w:color w:val="2C3E50"/>
          <w:sz w:val="22"/>
          <w:szCs w:val="22"/>
          <w:b w:val="1"/>
          <w:bCs w:val="1"/>
        </w:rPr>
        <w:t xml:space="preserve">Get written approval</w:t>
      </w:r>
      <w:r>
        <w:rPr>
          <w:color w:val="333333"/>
          <w:sz w:val="22"/>
          <w:szCs w:val="22"/>
        </w:rPr>
        <w:t xml:space="preserve">Get written approval</w:t>
      </w:r>
      <w:r>
        <w:rPr>
          <w:color w:val="333333"/>
          <w:sz w:val="22"/>
          <w:szCs w:val="22"/>
        </w:rPr>
        <w:t xml:space="preserve"> — always obtain written permission from the organisation before publishing</w:t>
      </w:r>
    </w:p>
    <w:p>
      <w:pPr>
        <w:pStyle w:val="Normal"/>
      </w:pPr>
      <w:r>
        <w:rPr>
          <w:color w:val="333333"/>
          <w:sz w:val="22"/>
          <w:szCs w:val="22"/>
          <w:i w:val="1"/>
          <w:iCs w:val="1"/>
        </w:rPr>
        <w:t xml:space="preserve">Template prepared for Losvinca E-Board Sales Kit. Customise for each implementation. All bracketed items [LIKE THIS] require client-specific information.</w:t>
      </w:r>
      <w:r>
        <w:rPr>
          <w:color w:val="333333"/>
          <w:sz w:val="22"/>
          <w:szCs w:val="22"/>
        </w:rPr>
        <w:t xml:space="preserve">Template prepared for Losvinca E-Board Sales Kit. Customise for each implementation. All bracketed items [LIKE THIS] require client-specific information.</w:t>
      </w:r>
    </w:p>
    <w:sectPr>
      <w:headerReference w:type="default" r:id="rId7"/>
      <w:footerReference w:type="default" r:id="rId8"/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999999"/>
        <w:sz w:val="16"/>
        <w:szCs w:val="16"/>
      </w:rPr>
      <w:t xml:space="preserve">CONFIDENTIAL | Losvinca E-Board Sales Kit | Page </w:t>
    </w:r>
    <w:r>
      <w:fldChar w:fldCharType="begin"/>
    </w:r>
    <w:r>
      <w:rPr>
        <w:color w:val="999999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999999"/>
        <w:sz w:val="16"/>
        <w:szCs w:val="16"/>
      </w:rPr>
      <w:t xml:space="preserve"> of </w:t>
    </w:r>
    <w:r>
      <w:fldChar w:fldCharType="begin"/>
    </w:r>
    <w:r>
      <w:rPr>
        <w:color w:val="999999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rPr>
        <w:color w:val="2E86C1"/>
        <w:sz w:val="16"/>
        <w:szCs w:val="16"/>
        <w:i w:val="1"/>
        <w:iCs w:val="1"/>
      </w:rPr>
      <w:t xml:space="preserve">E-Board by Losvinca — Digital Board Governance Platform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EE12FFCD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C1B0AD44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" w:hAnsi="" w:cs="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8">
    <w:abstractNumId w:val="8"/>
  </w: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  <w:pPr>
      <w:spacing w:after="8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20"/>
    </w:pPr>
    <w:rPr>
      <w:color w:val="1B4F72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80"/>
      <w:pBdr>
        <w:bottom w:val="single" w:sz="6" w:color="AED6F1"/>
      </w:pBdr>
    </w:pPr>
    <w:rPr>
      <w:color w:val="1B4F72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before="200" w:after="60"/>
    </w:pPr>
    <w:rPr>
      <w:color w:val="2E86C1"/>
      <w:sz w:val="26"/>
      <w:szCs w:val="26"/>
      <w:b w:val="1"/>
      <w:bCs w:val="1"/>
    </w:rPr>
  </w:style>
  <w:style w:type="paragraph" w:styleId="Heading4">
    <w:link w:val="Heading4Char"/>
    <w:name w:val="heading 4"/>
    <w:basedOn w:val="Normal"/>
    <w:pPr>
      <w:spacing w:before="160" w:after="40"/>
    </w:pPr>
    <w:rPr>
      <w:color w:val="2C3E50"/>
      <w:sz w:val="22"/>
      <w:szCs w:val="22"/>
      <w:b w:val="1"/>
      <w:bCs w:val="1"/>
    </w:rPr>
  </w:style>
  <w:style w:type="paragraph" w:customStyle="1" w:styleId="Quote">
    <w:name w:val="Quote"/>
    <w:basedOn w:val="Normal"/>
    <w:pPr>
      <w:ind w:left="480" w:right="0"/>
      <w:spacing w:after="80"/>
      <w:pBdr>
        <w:left w:val="single" w:sz="18" w:color="2E86C1"/>
      </w:pBdr>
    </w:pPr>
  </w:style>
  <w:style w:type="paragraph" w:customStyle="1" w:styleId="ListBullet">
    <w:name w:val="ListBullet"/>
    <w:basedOn w:val="Normal"/>
    <w:pPr>
      <w:ind w:left="360" w:right="0" w:hanging="360"/>
      <w:spacing w:after="4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2026-08-11T10:26:04+02:00</dcterms:created>
  <dcterms:modified xsi:type="dcterms:W3CDTF">2026-08-11T10:26:04+02:00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