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1" w:name="_Toc1"/>
      <w:r>
        <w:t>PART 24 — SALES KPIs</w:t>
      </w:r>
      <w:bookmarkEnd w:id="1"/>
    </w:p>
    <w:p>
      <w:pPr>
        <w:pStyle w:val="Heading2"/>
      </w:pPr>
      <w:bookmarkStart w:id="2" w:name="_Toc2"/>
      <w:r>
        <w:t>Losvinca Sales Kit | Key Performance Indicators for E-Board Sales</w:t>
      </w:r>
      <w:bookmarkEnd w:id="2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Document Classification:</w:t>
      </w:r>
      <w:r>
        <w:rPr>
          <w:color w:val="333333"/>
          <w:sz w:val="22"/>
          <w:szCs w:val="22"/>
        </w:rPr>
        <w:t xml:space="preserve">Document Classification:</w:t>
      </w:r>
      <w:r>
        <w:rPr>
          <w:color w:val="333333"/>
          <w:sz w:val="22"/>
          <w:szCs w:val="22"/>
        </w:rPr>
        <w:t xml:space="preserve"> Internal Sales Operations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Applicability:</w:t>
      </w:r>
      <w:r>
        <w:rPr>
          <w:color w:val="333333"/>
          <w:sz w:val="22"/>
          <w:szCs w:val="22"/>
        </w:rPr>
        <w:t xml:space="preserve">Applicability:</w:t>
      </w:r>
      <w:r>
        <w:rPr>
          <w:color w:val="333333"/>
          <w:sz w:val="22"/>
          <w:szCs w:val="22"/>
        </w:rPr>
        <w:t xml:space="preserve"> Kenya and African Institutional Markets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Status:</w:t>
      </w:r>
      <w:r>
        <w:rPr>
          <w:color w:val="333333"/>
          <w:sz w:val="22"/>
          <w:szCs w:val="22"/>
        </w:rPr>
        <w:t xml:space="preserve">Status:</w:t>
      </w:r>
      <w:r>
        <w:rPr>
          <w:color w:val="333333"/>
          <w:sz w:val="22"/>
          <w:szCs w:val="22"/>
        </w:rPr>
        <w:t xml:space="preserve"> </w:t>
      </w:r>
      <w:r>
        <w:rPr>
          <w:color w:val="FFFFFF"/>
          <w:sz w:val="16"/>
          <w:szCs w:val="16"/>
          <w:b w:val="1"/>
          <w:bCs w:val="1"/>
          <w:shd w:val="clear" w:fill="27AE60"/>
        </w:rPr>
        <w:t xml:space="preserve"> READY TO USE </w:t>
      </w:r>
    </w:p>
    <w:p>
      <w:pPr>
        <w:pStyle w:val="Heading2"/>
      </w:pPr>
      <w:bookmarkStart w:id="3" w:name="_Toc3"/>
      <w:r>
        <w:t>KPI FRAMEWORK OVERVIEW</w:t>
      </w:r>
      <w:bookmarkEnd w:id="3"/>
    </w:p>
    <w:p>
      <w:pPr>
        <w:pStyle w:val="Normal"/>
      </w:pPr>
      <w:r>
        <w:rPr>
          <w:color w:val="333333"/>
          <w:sz w:val="22"/>
          <w:szCs w:val="22"/>
        </w:rPr>
        <w:t xml:space="preserve">This document defines the key performance indicators Losvinca should track to measure, manage, and optimise E-Board sales performance. KPIs are organised into five categories:</w:t>
      </w:r>
    </w:p>
    <w:p>
      <w:pPr>
        <w:pStyle w:val="ListBullet"/>
        <w:numPr>
          <w:ilvl w:val="0"/>
          <w:numId w:val="9"/>
        </w:numPr>
      </w:pPr>
      <w:r>
        <w:rPr>
          <w:color w:val="2C3E50"/>
          <w:sz w:val="22"/>
          <w:szCs w:val="22"/>
          <w:b w:val="1"/>
          <w:bCs w:val="1"/>
        </w:rPr>
        <w:t xml:space="preserve">Pipeline Activity KPIs</w:t>
      </w:r>
      <w:r>
        <w:rPr>
          <w:color w:val="333333"/>
          <w:sz w:val="22"/>
          <w:szCs w:val="22"/>
        </w:rPr>
        <w:t xml:space="preserve">Pipeline Activity KPIs</w:t>
      </w:r>
      <w:r>
        <w:rPr>
          <w:color w:val="333333"/>
          <w:sz w:val="22"/>
          <w:szCs w:val="22"/>
        </w:rPr>
        <w:t xml:space="preserve"> — Measuring sales effort and outreach</w:t>
      </w:r>
    </w:p>
    <w:p>
      <w:pPr>
        <w:pStyle w:val="ListBullet"/>
        <w:numPr>
          <w:ilvl w:val="0"/>
          <w:numId w:val="9"/>
        </w:numPr>
      </w:pPr>
      <w:r>
        <w:rPr>
          <w:color w:val="2C3E50"/>
          <w:sz w:val="22"/>
          <w:szCs w:val="22"/>
          <w:b w:val="1"/>
          <w:bCs w:val="1"/>
        </w:rPr>
        <w:t xml:space="preserve">Conversion KPIs</w:t>
      </w:r>
      <w:r>
        <w:rPr>
          <w:color w:val="333333"/>
          <w:sz w:val="22"/>
          <w:szCs w:val="22"/>
        </w:rPr>
        <w:t xml:space="preserve">Conversion KPIs</w:t>
      </w:r>
      <w:r>
        <w:rPr>
          <w:color w:val="333333"/>
          <w:sz w:val="22"/>
          <w:szCs w:val="22"/>
        </w:rPr>
        <w:t xml:space="preserve"> — Measuring pipeline progression</w:t>
      </w:r>
    </w:p>
    <w:p>
      <w:pPr>
        <w:pStyle w:val="ListBullet"/>
        <w:numPr>
          <w:ilvl w:val="0"/>
          <w:numId w:val="9"/>
        </w:numPr>
      </w:pPr>
      <w:r>
        <w:rPr>
          <w:color w:val="2C3E50"/>
          <w:sz w:val="22"/>
          <w:szCs w:val="22"/>
          <w:b w:val="1"/>
          <w:bCs w:val="1"/>
        </w:rPr>
        <w:t xml:space="preserve">Revenue KPIs</w:t>
      </w:r>
      <w:r>
        <w:rPr>
          <w:color w:val="333333"/>
          <w:sz w:val="22"/>
          <w:szCs w:val="22"/>
        </w:rPr>
        <w:t xml:space="preserve">Revenue KPIs</w:t>
      </w:r>
      <w:r>
        <w:rPr>
          <w:color w:val="333333"/>
          <w:sz w:val="22"/>
          <w:szCs w:val="22"/>
        </w:rPr>
        <w:t xml:space="preserve"> — Measuring financial performance</w:t>
      </w:r>
    </w:p>
    <w:p>
      <w:pPr>
        <w:pStyle w:val="ListBullet"/>
        <w:numPr>
          <w:ilvl w:val="0"/>
          <w:numId w:val="9"/>
        </w:numPr>
      </w:pPr>
      <w:r>
        <w:rPr>
          <w:color w:val="2C3E50"/>
          <w:sz w:val="22"/>
          <w:szCs w:val="22"/>
          <w:b w:val="1"/>
          <w:bCs w:val="1"/>
        </w:rPr>
        <w:t xml:space="preserve">Efficiency KPIs</w:t>
      </w:r>
      <w:r>
        <w:rPr>
          <w:color w:val="333333"/>
          <w:sz w:val="22"/>
          <w:szCs w:val="22"/>
        </w:rPr>
        <w:t xml:space="preserve">Efficiency KPIs</w:t>
      </w:r>
      <w:r>
        <w:rPr>
          <w:color w:val="333333"/>
          <w:sz w:val="22"/>
          <w:szCs w:val="22"/>
        </w:rPr>
        <w:t xml:space="preserve"> — Measuring cost and time effectiveness</w:t>
      </w:r>
    </w:p>
    <w:p>
      <w:pPr>
        <w:pStyle w:val="ListBullet"/>
        <w:numPr>
          <w:ilvl w:val="0"/>
          <w:numId w:val="9"/>
        </w:numPr>
      </w:pPr>
      <w:r>
        <w:rPr>
          <w:color w:val="2C3E50"/>
          <w:sz w:val="22"/>
          <w:szCs w:val="22"/>
          <w:b w:val="1"/>
          <w:bCs w:val="1"/>
        </w:rPr>
        <w:t xml:space="preserve">Retention KPIs</w:t>
      </w:r>
      <w:r>
        <w:rPr>
          <w:color w:val="333333"/>
          <w:sz w:val="22"/>
          <w:szCs w:val="22"/>
        </w:rPr>
        <w:t xml:space="preserve">Retention KPIs</w:t>
      </w:r>
      <w:r>
        <w:rPr>
          <w:color w:val="333333"/>
          <w:sz w:val="22"/>
          <w:szCs w:val="22"/>
        </w:rPr>
        <w:t xml:space="preserve"> — Measuring customer health and growth</w:t>
      </w:r>
    </w:p>
    <w:p>
      <w:pPr>
        <w:pStyle w:val="Normal"/>
      </w:pPr>
      <w:r>
        <w:rPr>
          <w:color w:val="333333"/>
          <w:sz w:val="22"/>
          <w:szCs w:val="22"/>
        </w:rPr>
        <w:t xml:space="preserve">Each KPI includes: definition, calculation method, recommended initial target (Year 1 in the Kenyan market), measurement frequency, and the action to take when the KPI is off-track.</w:t>
      </w:r>
    </w:p>
    <w:p>
      <w:pPr>
        <w:pStyle w:val="Heading2"/>
      </w:pPr>
      <w:bookmarkStart w:id="4" w:name="_Toc4"/>
      <w:r>
        <w:t>1. PIPELINE ACTIVITY KPIs</w:t>
      </w:r>
      <w:bookmarkEnd w:id="4"/>
    </w:p>
    <w:p>
      <w:pPr>
        <w:pStyle w:val="Heading3"/>
      </w:pPr>
      <w:bookmarkStart w:id="5" w:name="_Toc5"/>
      <w:r>
        <w:t>1.1 Total Leads Generated</w:t>
      </w:r>
      <w:bookmarkEnd w:id="5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total number of new organisations identified and added to the prospect database, regardless of qualification status.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Count of new organisation records added to CRM in the period.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Monthly: 20-30 new leads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Quarterly: 60-80 new leads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Year 1: 200-300 total leads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Weekly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Source Breakdown to Track:</w:t>
      </w:r>
      <w:r>
        <w:rPr>
          <w:color w:val="333333"/>
          <w:sz w:val="22"/>
          <w:szCs w:val="22"/>
        </w:rPr>
        <w:t xml:space="preserve">Source Breakdown to Track:</w:t>
      </w:r>
    </w:p>
    <w:tbl>
      <w:tblGrid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Lead Source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Target % of Total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Outbound prospecting (research, cold outreach)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40%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LinkedIn engagement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20%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Events and networking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15%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Referrals from existing contacts/customers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15%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Webinars and content marketing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10%</w:t>
            </w:r>
          </w:p>
        </w:tc>
      </w:tr>
    </w:tbl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Off-Track Action:</w:t>
      </w:r>
      <w:r>
        <w:rPr>
          <w:color w:val="333333"/>
          <w:sz w:val="22"/>
          <w:szCs w:val="22"/>
        </w:rPr>
        <w:t xml:space="preserve">Off-Track Action:</w:t>
      </w:r>
      <w:r>
        <w:rPr>
          <w:color w:val="333333"/>
          <w:sz w:val="22"/>
          <w:szCs w:val="22"/>
        </w:rPr>
        <w:t xml:space="preserve"> If below target, increase outbound prospecting activity. Review target organisation list for untapped segments. Increase LinkedIn posting frequency. Attend more events.</w:t>
      </w:r>
    </w:p>
    <w:p>
      <w:pPr>
        <w:pStyle w:val="Heading3"/>
      </w:pPr>
      <w:bookmarkStart w:id="6" w:name="_Toc6"/>
      <w:r>
        <w:t>1.2 Qualified Prospects</w:t>
      </w:r>
      <w:bookmarkEnd w:id="6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Organisations that have been confirmed to have a formal board, an identified decision-maker, and an expressed or implied need for board governance digitisation.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Count of prospects that pass from "Prospect" to "Discovery" stage in CRM.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Monthly: 8-12 qualified prospects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Quarterly: 25-35 qualified prospects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Year 1: 80-120 qualified prospects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Lead-to-Qualified Conversion Rate Target:</w:t>
      </w:r>
      <w:r>
        <w:rPr>
          <w:color w:val="333333"/>
          <w:sz w:val="22"/>
          <w:szCs w:val="22"/>
        </w:rPr>
        <w:t xml:space="preserve">Lead-to-Qualified Conversion Rate Target:</w:t>
      </w:r>
      <w:r>
        <w:rPr>
          <w:color w:val="333333"/>
          <w:sz w:val="22"/>
          <w:szCs w:val="22"/>
        </w:rPr>
        <w:t xml:space="preserve"> 35-45%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Weekly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Qualification Criteria (all must be met):</w:t>
      </w:r>
      <w:r>
        <w:rPr>
          <w:color w:val="333333"/>
          <w:sz w:val="22"/>
          <w:szCs w:val="22"/>
        </w:rPr>
        <w:t xml:space="preserve">Qualification Criteria (all must be met):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Organisation has a formal board or governance committee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At least one decision-maker or influencer identified by name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Contact has been made and acknowledged (email response, call, meeting)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No immediate disqualifying factor (e.g., already using competitor, no budget authority, organisation too small)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Off-Track Action:</w:t>
      </w:r>
      <w:r>
        <w:rPr>
          <w:color w:val="333333"/>
          <w:sz w:val="22"/>
          <w:szCs w:val="22"/>
        </w:rPr>
        <w:t xml:space="preserve">Off-Track Action:</w:t>
      </w:r>
      <w:r>
        <w:rPr>
          <w:color w:val="333333"/>
          <w:sz w:val="22"/>
          <w:szCs w:val="22"/>
        </w:rPr>
        <w:t xml:space="preserve"> If qualification rate is low, review targeting criteria. Are you reaching the right organisations? If high lead volume but low qualification, tighten lead generation criteria rather than generating more unqualified leads.</w:t>
      </w:r>
    </w:p>
    <w:p>
      <w:pPr>
        <w:pStyle w:val="Heading3"/>
      </w:pPr>
      <w:bookmarkStart w:id="7" w:name="_Toc7"/>
      <w:r>
        <w:t>1.3 Meetings Conducted</w:t>
      </w:r>
      <w:bookmarkEnd w:id="7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number of discovery calls, demos, and follow-up meetings held with qualified prospects.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Count of logged meetings in CRM.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Weekly: 3-5 meetings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Monthly: 12-18 meetings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Quarterly: 35-50 meetings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Breakdown:</w:t>
      </w:r>
      <w:r>
        <w:rPr>
          <w:color w:val="333333"/>
          <w:sz w:val="22"/>
          <w:szCs w:val="22"/>
        </w:rPr>
        <w:t xml:space="preserve">Breakdown:</w:t>
      </w:r>
    </w:p>
    <w:tbl>
      <w:tblGrid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Meeting Type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Monthly Target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Discovery meetings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5-8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Product demonstrations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3-5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Follow-up/proposal meetings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3-5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Technical/ICT assessment meetings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1-2</w:t>
            </w:r>
          </w:p>
        </w:tc>
      </w:tr>
    </w:tbl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Weekly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Off-Track Action:</w:t>
      </w:r>
      <w:r>
        <w:rPr>
          <w:color w:val="333333"/>
          <w:sz w:val="22"/>
          <w:szCs w:val="22"/>
        </w:rPr>
        <w:t xml:space="preserve">Off-Track Action:</w:t>
      </w:r>
      <w:r>
        <w:rPr>
          <w:color w:val="333333"/>
          <w:sz w:val="22"/>
          <w:szCs w:val="22"/>
        </w:rPr>
        <w:t xml:space="preserve"> If below target, increase phone and email follow-up intensity. Offer more flexible meeting options (virtual vs. in-person). Ensure meeting requests are going to the right contacts (Corporation Secretaries and CEOs, not junior staff who cannot schedule).</w:t>
      </w:r>
    </w:p>
    <w:p>
      <w:pPr>
        <w:pStyle w:val="Heading3"/>
      </w:pPr>
      <w:bookmarkStart w:id="8" w:name="_Toc8"/>
      <w:r>
        <w:t>1.4 Demos Delivered</w:t>
      </w:r>
      <w:bookmarkEnd w:id="8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number of formal E-Board product demonstrations delivered to qualified prospects.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Count of completed demo sessions.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Monthly: 3-5 demos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Quarterly: 10-15 demos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Year 1: 40-50 demos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Weekly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Off-Track Action:</w:t>
      </w:r>
      <w:r>
        <w:rPr>
          <w:color w:val="333333"/>
          <w:sz w:val="22"/>
          <w:szCs w:val="22"/>
        </w:rPr>
        <w:t xml:space="preserve">Off-Track Action:</w:t>
      </w:r>
      <w:r>
        <w:rPr>
          <w:color w:val="333333"/>
          <w:sz w:val="22"/>
          <w:szCs w:val="22"/>
        </w:rPr>
        <w:t xml:space="preserve"> If below target, review Discovery-to-Demo conversion. Are discovery meetings ending with clear next steps? Is demo scheduling being delayed? Consider offering group demos or webinar-style demos to increase throughput.</w:t>
      </w:r>
    </w:p>
    <w:p>
      <w:pPr>
        <w:pStyle w:val="Heading3"/>
      </w:pPr>
      <w:bookmarkStart w:id="9" w:name="_Toc9"/>
      <w:r>
        <w:t>1.5 LinkedIn Activity Metrics</w:t>
      </w:r>
      <w:bookmarkEnd w:id="9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Engagement metrics from LinkedIn content and outreach.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Metrics to Track:</w:t>
      </w:r>
      <w:r>
        <w:rPr>
          <w:color w:val="333333"/>
          <w:sz w:val="22"/>
          <w:szCs w:val="22"/>
        </w:rPr>
        <w:t xml:space="preserve">Metrics to Track:</w:t>
      </w:r>
    </w:p>
    <w:tbl>
      <w:tblGrid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Metric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Monthly Target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Posts published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4-8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Articles published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1-2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Connection requests sent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40-60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Connection requests accepted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20-30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Post impressions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2,000-5,000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Profile views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100-200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Direct messages sent (outreach)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20-30</w:t>
            </w:r>
          </w:p>
        </w:tc>
      </w:tr>
    </w:tbl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Monthly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Off-Track Action:</w:t>
      </w:r>
      <w:r>
        <w:rPr>
          <w:color w:val="333333"/>
          <w:sz w:val="22"/>
          <w:szCs w:val="22"/>
        </w:rPr>
        <w:t xml:space="preserve">Off-Track Action:</w:t>
      </w:r>
      <w:r>
        <w:rPr>
          <w:color w:val="333333"/>
          <w:sz w:val="22"/>
          <w:szCs w:val="22"/>
        </w:rPr>
        <w:t xml:space="preserve"> Improve content quality and relevance. Post about governance challenges, Mwongozo compliance, and board best practices rather than product features. Engage with other people's content (comments, shares) to increase visibility.</w:t>
      </w:r>
    </w:p>
    <w:p>
      <w:pPr>
        <w:pStyle w:val="Heading2"/>
      </w:pPr>
      <w:bookmarkStart w:id="10" w:name="_Toc10"/>
      <w:r>
        <w:t>2. CONVERSION KPIs</w:t>
      </w:r>
      <w:bookmarkEnd w:id="10"/>
    </w:p>
    <w:p>
      <w:pPr>
        <w:pStyle w:val="Heading3"/>
      </w:pPr>
      <w:bookmarkStart w:id="11" w:name="_Toc11"/>
      <w:r>
        <w:t>2.1 Stage Conversion Rates</w:t>
      </w:r>
      <w:bookmarkEnd w:id="11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percentage of prospects that advance from one funnel stage to the next.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(Number of prospects advancing to next stage / Number of prospects in current stage) x 100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Targets:</w:t>
      </w:r>
      <w:r>
        <w:rPr>
          <w:color w:val="333333"/>
          <w:sz w:val="22"/>
          <w:szCs w:val="22"/>
        </w:rPr>
        <w:t xml:space="preserve">Recommended Initial Targets:</w:t>
      </w:r>
    </w:p>
    <w:tbl>
      <w:tblGrid>
        <w:gridCol/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Stage Transition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Year 1 Target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Minimum Acceptable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Prospect to Discovery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35-45%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25%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Discovery to Demo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50-60%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40%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Demo to Pilot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40-50%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30%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Pilot to Proposal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70-80%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60%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Proposal to Signed Contract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40-50%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30%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**Overall: Lead to Customer**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**3-5%**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**2%**</w:t>
            </w:r>
          </w:p>
        </w:tc>
      </w:tr>
    </w:tbl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Monthly (review), Quarterly (trend analysis)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Off-Track Action by Stage:</w:t>
      </w:r>
      <w:r>
        <w:rPr>
          <w:color w:val="333333"/>
          <w:sz w:val="22"/>
          <w:szCs w:val="22"/>
        </w:rPr>
        <w:t xml:space="preserve">Off-Track Action by Stage: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Low Prospect-to-Discovery:</w:t>
      </w:r>
      <w:r>
        <w:rPr>
          <w:color w:val="333333"/>
          <w:sz w:val="22"/>
          <w:szCs w:val="22"/>
        </w:rPr>
        <w:t xml:space="preserve">Low Prospect-to-Discovery:</w:t>
      </w:r>
      <w:r>
        <w:rPr>
          <w:color w:val="333333"/>
          <w:sz w:val="22"/>
          <w:szCs w:val="22"/>
        </w:rPr>
        <w:t xml:space="preserve"> Improve initial outreach messaging. Target more relevant organisations.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Low Discovery-to-Demo:</w:t>
      </w:r>
      <w:r>
        <w:rPr>
          <w:color w:val="333333"/>
          <w:sz w:val="22"/>
          <w:szCs w:val="22"/>
        </w:rPr>
        <w:t xml:space="preserve">Low Discovery-to-Demo:</w:t>
      </w:r>
      <w:r>
        <w:rPr>
          <w:color w:val="333333"/>
          <w:sz w:val="22"/>
          <w:szCs w:val="22"/>
        </w:rPr>
        <w:t xml:space="preserve"> Strengthen discovery process. Ensure pain points are clearly identified and E-Board's relevance is established before proposing a demo.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Low Demo-to-Pilot:</w:t>
      </w:r>
      <w:r>
        <w:rPr>
          <w:color w:val="333333"/>
          <w:sz w:val="22"/>
          <w:szCs w:val="22"/>
        </w:rPr>
        <w:t xml:space="preserve">Low Demo-to-Pilot:</w:t>
      </w:r>
      <w:r>
        <w:rPr>
          <w:color w:val="333333"/>
          <w:sz w:val="22"/>
          <w:szCs w:val="22"/>
        </w:rPr>
        <w:t xml:space="preserve"> Improve demo quality and customisation. Ensure demos address specific prospect pain points. Review objection handling.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Low Pilot-to-Proposal:</w:t>
      </w:r>
      <w:r>
        <w:rPr>
          <w:color w:val="333333"/>
          <w:sz w:val="22"/>
          <w:szCs w:val="22"/>
        </w:rPr>
        <w:t xml:space="preserve">Low Pilot-to-Proposal:</w:t>
      </w:r>
      <w:r>
        <w:rPr>
          <w:color w:val="333333"/>
          <w:sz w:val="22"/>
          <w:szCs w:val="22"/>
        </w:rPr>
        <w:t xml:space="preserve"> Increase pilot support. Ensure prospects complete a full meeting cycle during pilot. Address issues proactively.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Low Proposal-to-Contract:</w:t>
      </w:r>
      <w:r>
        <w:rPr>
          <w:color w:val="333333"/>
          <w:sz w:val="22"/>
          <w:szCs w:val="22"/>
        </w:rPr>
        <w:t xml:space="preserve">Low Proposal-to-Contract:</w:t>
      </w:r>
      <w:r>
        <w:rPr>
          <w:color w:val="333333"/>
          <w:sz w:val="22"/>
          <w:szCs w:val="22"/>
        </w:rPr>
        <w:t xml:space="preserve"> Review pricing competitiveness. Strengthen ROI arguments. Improve proposal quality. Build stronger relationships with decision-makers.</w:t>
      </w:r>
    </w:p>
    <w:p>
      <w:pPr>
        <w:pStyle w:val="Heading3"/>
      </w:pPr>
      <w:bookmarkStart w:id="12" w:name="_Toc12"/>
      <w:r>
        <w:t>2.2 Pilot Conversion Rate</w:t>
      </w:r>
      <w:bookmarkEnd w:id="12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percentage of pilot engagements that convert to paying subscriptions.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(Number of pilots converted to paid / Total pilots completed) x 100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  <w:r>
        <w:rPr>
          <w:color w:val="333333"/>
          <w:sz w:val="22"/>
          <w:szCs w:val="22"/>
        </w:rPr>
        <w:t xml:space="preserve"> 60-70%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Minimum Acceptable:</w:t>
      </w:r>
      <w:r>
        <w:rPr>
          <w:color w:val="333333"/>
          <w:sz w:val="22"/>
          <w:szCs w:val="22"/>
        </w:rPr>
        <w:t xml:space="preserve">Minimum Acceptable:</w:t>
      </w:r>
      <w:r>
        <w:rPr>
          <w:color w:val="333333"/>
          <w:sz w:val="22"/>
          <w:szCs w:val="22"/>
        </w:rPr>
        <w:t xml:space="preserve"> 50%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Per pilot completion, aggregated quarterly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Off-Track Action:</w:t>
      </w:r>
      <w:r>
        <w:rPr>
          <w:color w:val="333333"/>
          <w:sz w:val="22"/>
          <w:szCs w:val="22"/>
        </w:rPr>
        <w:t xml:space="preserve">Off-Track Action:</w:t>
      </w:r>
      <w:r>
        <w:rPr>
          <w:color w:val="333333"/>
          <w:sz w:val="22"/>
          <w:szCs w:val="22"/>
        </w:rPr>
        <w:t xml:space="preserve"> If below target, review pilot scope and support. Are pilots too short? Too unsupported? Is the organisation completing a full meeting cycle? Are the right stakeholders involved? Consider extending pilot duration or increasing support intensity rather than starting more pilots.</w:t>
      </w:r>
    </w:p>
    <w:p>
      <w:pPr>
        <w:pStyle w:val="Heading3"/>
      </w:pPr>
      <w:bookmarkStart w:id="13" w:name="_Toc13"/>
      <w:r>
        <w:t>2.3 Win Rate</w:t>
      </w:r>
      <w:bookmarkEnd w:id="13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percentage of all formal proposals that result in signed contracts.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(Number of signed contracts / Number of formal proposals submitted) x 100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  <w:r>
        <w:rPr>
          <w:color w:val="333333"/>
          <w:sz w:val="22"/>
          <w:szCs w:val="22"/>
        </w:rPr>
        <w:t xml:space="preserve"> 40-50%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Minimum Acceptable:</w:t>
      </w:r>
      <w:r>
        <w:rPr>
          <w:color w:val="333333"/>
          <w:sz w:val="22"/>
          <w:szCs w:val="22"/>
        </w:rPr>
        <w:t xml:space="preserve">Minimum Acceptable:</w:t>
      </w:r>
      <w:r>
        <w:rPr>
          <w:color w:val="333333"/>
          <w:sz w:val="22"/>
          <w:szCs w:val="22"/>
        </w:rPr>
        <w:t xml:space="preserve"> 30%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Quarterly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Off-Track Action:</w:t>
      </w:r>
      <w:r>
        <w:rPr>
          <w:color w:val="333333"/>
          <w:sz w:val="22"/>
          <w:szCs w:val="22"/>
        </w:rPr>
        <w:t xml:space="preserve">Off-Track Action:</w:t>
      </w:r>
      <w:r>
        <w:rPr>
          <w:color w:val="333333"/>
          <w:sz w:val="22"/>
          <w:szCs w:val="22"/>
        </w:rPr>
        <w:t xml:space="preserve"> Analyse lost deals. Common reasons: pricing, feature gaps, procurement delays, competitor selection, budget reallocation, change in management. Address the most common loss reason first.</w:t>
      </w:r>
    </w:p>
    <w:p>
      <w:pPr>
        <w:pStyle w:val="Heading3"/>
      </w:pPr>
      <w:bookmarkStart w:id="14" w:name="_Toc14"/>
      <w:r>
        <w:t>2.4 Pipeline Velocity</w:t>
      </w:r>
      <w:bookmarkEnd w:id="14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speed at which opportunities move through the sales funnel.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(Number of opportunities x Average deal value x Win rate) / Average sales cycle length (days)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  <w:r>
        <w:rPr>
          <w:color w:val="333333"/>
          <w:sz w:val="22"/>
          <w:szCs w:val="22"/>
        </w:rPr>
        <w:t xml:space="preserve"> Establish baseline in Q1, improve by 10-15% per quarter.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Monthly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Off-Track Action:</w:t>
      </w:r>
      <w:r>
        <w:rPr>
          <w:color w:val="333333"/>
          <w:sz w:val="22"/>
          <w:szCs w:val="22"/>
        </w:rPr>
        <w:t xml:space="preserve">Off-Track Action:</w:t>
      </w:r>
      <w:r>
        <w:rPr>
          <w:color w:val="333333"/>
          <w:sz w:val="22"/>
          <w:szCs w:val="22"/>
        </w:rPr>
        <w:t xml:space="preserve"> Identify and unblock stalled opportunities. Remove dead deals from active pipeline. Focus on deals with highest probability and shortest time-to-close.</w:t>
      </w:r>
    </w:p>
    <w:p>
      <w:pPr>
        <w:pStyle w:val="Heading2"/>
      </w:pPr>
      <w:bookmarkStart w:id="15" w:name="_Toc15"/>
      <w:r>
        <w:t>3. REVENUE KPIs</w:t>
      </w:r>
      <w:bookmarkEnd w:id="15"/>
    </w:p>
    <w:p>
      <w:pPr>
        <w:pStyle w:val="Heading3"/>
      </w:pPr>
      <w:bookmarkStart w:id="16" w:name="_Toc16"/>
      <w:r>
        <w:t>3.1 Monthly Recurring Revenue (MRR)</w:t>
      </w:r>
      <w:bookmarkEnd w:id="16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total predictable monthly revenue from all active subscriptions.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Sum of all active monthly subscription values. For annual subscriptions, divide annual value by 12.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Targets:</w:t>
      </w:r>
      <w:r>
        <w:rPr>
          <w:color w:val="333333"/>
          <w:sz w:val="22"/>
          <w:szCs w:val="22"/>
        </w:rPr>
        <w:t xml:space="preserve">Recommended Initial Targets:</w:t>
      </w:r>
    </w:p>
    <w:tbl>
      <w:tblGrid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Timeline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MRR Target (KES)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End of Month 3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50,000 - 100,000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End of Month 6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150,000 - 300,000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End of Month 9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300,000 - 500,000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End of Year 1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500,000 - 800,000</w:t>
            </w:r>
          </w:p>
        </w:tc>
      </w:tr>
    </w:tbl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Monthly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Off-Track Action:</w:t>
      </w:r>
      <w:r>
        <w:rPr>
          <w:color w:val="333333"/>
          <w:sz w:val="22"/>
          <w:szCs w:val="22"/>
        </w:rPr>
        <w:t xml:space="preserve">Off-Track Action:</w:t>
      </w:r>
      <w:r>
        <w:rPr>
          <w:color w:val="333333"/>
          <w:sz w:val="22"/>
          <w:szCs w:val="22"/>
        </w:rPr>
        <w:t xml:space="preserve"> Accelerate conversion of prospects in late-stage pipeline. Review pricing — are deals being discounted too heavily? Pursue higher-value (larger board/more users) organisations.</w:t>
      </w:r>
    </w:p>
    <w:p>
      <w:pPr>
        <w:pStyle w:val="Heading3"/>
      </w:pPr>
      <w:bookmarkStart w:id="17" w:name="_Toc17"/>
      <w:r>
        <w:t>3.2 Annual Recurring Revenue (ARR)</w:t>
      </w:r>
      <w:bookmarkEnd w:id="17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annualised value of all active subscriptions.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MRR x 12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End of Year 1: KES 6,000,000 - 10,000,000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Monthly (tracked), Quarterly (reported)</w:t>
      </w:r>
    </w:p>
    <w:p>
      <w:pPr>
        <w:pStyle w:val="Heading3"/>
      </w:pPr>
      <w:bookmarkStart w:id="18" w:name="_Toc18"/>
      <w:r>
        <w:t>3.3 Average Revenue Per Customer (ARPC)</w:t>
      </w:r>
      <w:bookmarkEnd w:id="18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average annual subscription value per paying customer.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Total ARR / Number of active paying customers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  <w:r>
        <w:rPr>
          <w:color w:val="333333"/>
          <w:sz w:val="22"/>
          <w:szCs w:val="22"/>
        </w:rPr>
        <w:t xml:space="preserve"> KES 600,000 - 1,200,000 per year per customer (varies significantly by organisation size — state corporations on the higher end, smaller NGOs on the lower end)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Quarterly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Off-Track Action:</w:t>
      </w:r>
      <w:r>
        <w:rPr>
          <w:color w:val="333333"/>
          <w:sz w:val="22"/>
          <w:szCs w:val="22"/>
        </w:rPr>
        <w:t xml:space="preserve">Off-Track Action:</w:t>
      </w:r>
      <w:r>
        <w:rPr>
          <w:color w:val="333333"/>
          <w:sz w:val="22"/>
          <w:szCs w:val="22"/>
        </w:rPr>
        <w:t xml:space="preserve"> If ARPC is too low, focus prospecting on larger organisations. If too high, ensure pricing is not a barrier to smaller organisations. Consider tiered pricing.</w:t>
      </w:r>
    </w:p>
    <w:p>
      <w:pPr>
        <w:pStyle w:val="Heading3"/>
      </w:pPr>
      <w:bookmarkStart w:id="19" w:name="_Toc19"/>
      <w:r>
        <w:t>3.4 Total Contract Value (TCV)</w:t>
      </w:r>
      <w:bookmarkEnd w:id="19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total value of all signed contracts including multi-year commitments.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Sum of all signed contract values (including multi-year terms at full value).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End of Year 1: KES 8,000,000 - 15,000,000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Quarterly</w:t>
      </w:r>
    </w:p>
    <w:p>
      <w:pPr>
        <w:pStyle w:val="Heading3"/>
      </w:pPr>
      <w:bookmarkStart w:id="20" w:name="_Toc20"/>
      <w:r>
        <w:t>3.5 New Business Revenue</w:t>
      </w:r>
      <w:bookmarkEnd w:id="20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Revenue from newly acquired customers (first-time subscriptions).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Sum of first-year subscription values from customers acquired in the period.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Quarterly: KES 1,500,000 - 3,000,000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Year 1: KES 6,000,000 - 10,000,000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Monthly</w:t>
      </w:r>
    </w:p>
    <w:p>
      <w:pPr>
        <w:pStyle w:val="Heading3"/>
      </w:pPr>
      <w:bookmarkStart w:id="21" w:name="_Toc21"/>
      <w:r>
        <w:t>3.6 Expansion Revenue</w:t>
      </w:r>
      <w:bookmarkEnd w:id="21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Additional revenue from existing customers through upsells, additional users, or additional services.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Revenue from existing customers above their initial subscription value.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Year 1: 10-15% of total revenue (expansion will be minimal initially but should grow)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Quarterly</w:t>
      </w:r>
    </w:p>
    <w:p>
      <w:pPr>
        <w:pStyle w:val="Heading2"/>
      </w:pPr>
      <w:bookmarkStart w:id="22" w:name="_Toc22"/>
      <w:r>
        <w:t>4. EFFICIENCY KPIs</w:t>
      </w:r>
      <w:bookmarkEnd w:id="22"/>
    </w:p>
    <w:p>
      <w:pPr>
        <w:pStyle w:val="Heading3"/>
      </w:pPr>
      <w:bookmarkStart w:id="23" w:name="_Toc23"/>
      <w:r>
        <w:t>4.1 Customer Acquisition Cost (CAC)</w:t>
      </w:r>
      <w:bookmarkEnd w:id="23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total cost of acquiring a new paying customer.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Total sales and marketing costs in period / Number of new customers acquired in period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Include in costs:</w:t>
      </w:r>
      <w:r>
        <w:rPr>
          <w:color w:val="333333"/>
          <w:sz w:val="22"/>
          <w:szCs w:val="22"/>
        </w:rPr>
        <w:t xml:space="preserve">Include in costs:</w:t>
      </w:r>
      <w:r>
        <w:rPr>
          <w:color w:val="333333"/>
          <w:sz w:val="22"/>
          <w:szCs w:val="22"/>
        </w:rPr>
        <w:t xml:space="preserve"> Salaries (sales team portion), travel, events, marketing materials, tools (CRM, email, LinkedIn), demo environment hosting, pilot costs.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Year 1: KES 100,000 - 250,000 per customer (higher in early stages, declining as processes mature)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Year 2 target: KES 60,000 - 150,000 per customer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Quarterly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Off-Track Action:</w:t>
      </w:r>
      <w:r>
        <w:rPr>
          <w:color w:val="333333"/>
          <w:sz w:val="22"/>
          <w:szCs w:val="22"/>
        </w:rPr>
        <w:t xml:space="preserve">Off-Track Action:</w:t>
      </w:r>
      <w:r>
        <w:rPr>
          <w:color w:val="333333"/>
          <w:sz w:val="22"/>
          <w:szCs w:val="22"/>
        </w:rPr>
        <w:t xml:space="preserve"> If CAC is too high, focus on higher-converting lead sources. Increase referral-based acquisition (lowest CAC). Improve conversion rates at each stage. Reduce time spent on unqualified prospects.</w:t>
      </w:r>
    </w:p>
    <w:p>
      <w:pPr>
        <w:pStyle w:val="Heading3"/>
      </w:pPr>
      <w:bookmarkStart w:id="24" w:name="_Toc24"/>
      <w:r>
        <w:t>4.2 CAC Payback Period</w:t>
      </w:r>
      <w:bookmarkEnd w:id="24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number of months required to recover the cost of acquiring a customer through their subscription revenue.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CAC / Monthly subscription revenue per customer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  <w:r>
        <w:rPr>
          <w:color w:val="333333"/>
          <w:sz w:val="22"/>
          <w:szCs w:val="22"/>
        </w:rPr>
        <w:t xml:space="preserve"> 6-12 months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Maximum Acceptable:</w:t>
      </w:r>
      <w:r>
        <w:rPr>
          <w:color w:val="333333"/>
          <w:sz w:val="22"/>
          <w:szCs w:val="22"/>
        </w:rPr>
        <w:t xml:space="preserve">Maximum Acceptable:</w:t>
      </w:r>
      <w:r>
        <w:rPr>
          <w:color w:val="333333"/>
          <w:sz w:val="22"/>
          <w:szCs w:val="22"/>
        </w:rPr>
        <w:t xml:space="preserve"> 18 months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Quarterly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Off-Track Action:</w:t>
      </w:r>
      <w:r>
        <w:rPr>
          <w:color w:val="333333"/>
          <w:sz w:val="22"/>
          <w:szCs w:val="22"/>
        </w:rPr>
        <w:t xml:space="preserve">Off-Track Action:</w:t>
      </w:r>
      <w:r>
        <w:rPr>
          <w:color w:val="333333"/>
          <w:sz w:val="22"/>
          <w:szCs w:val="22"/>
        </w:rPr>
        <w:t xml:space="preserve"> If payback period exceeds 12 months, review either CAC (reduce acquisition costs) or ARPC (increase pricing or upsell).</w:t>
      </w:r>
    </w:p>
    <w:p>
      <w:pPr>
        <w:pStyle w:val="Heading3"/>
      </w:pPr>
      <w:bookmarkStart w:id="25" w:name="_Toc25"/>
      <w:r>
        <w:t>4.3 Sales Cycle Length</w:t>
      </w:r>
      <w:bookmarkEnd w:id="25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average number of days from first contact to signed contract.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Average of (Contract signed date - First contact date) for all deals closed in period.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Targets:</w:t>
      </w:r>
      <w:r>
        <w:rPr>
          <w:color w:val="333333"/>
          <w:sz w:val="22"/>
          <w:szCs w:val="22"/>
        </w:rPr>
        <w:t xml:space="preserve">Recommended Initial Targets:</w:t>
      </w:r>
    </w:p>
    <w:tbl>
      <w:tblGrid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Customer Type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Target Sales Cycle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Private institution (NGO, private company)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45-90 days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Parastatal / State corporation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90-180 days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Government ministry/department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120-240 days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County government entity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90-180 days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**Blended average**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**90-120 days**</w:t>
            </w:r>
          </w:p>
        </w:tc>
      </w:tr>
    </w:tbl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Per deal closed, aggregated quarterly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Off-Track Action:</w:t>
      </w:r>
      <w:r>
        <w:rPr>
          <w:color w:val="333333"/>
          <w:sz w:val="22"/>
          <w:szCs w:val="22"/>
        </w:rPr>
        <w:t xml:space="preserve">Off-Track Action:</w:t>
      </w:r>
      <w:r>
        <w:rPr>
          <w:color w:val="333333"/>
          <w:sz w:val="22"/>
          <w:szCs w:val="22"/>
        </w:rPr>
        <w:t xml:space="preserve"> If sales cycle is too long, identify where deals stall. Common bottlenecks: waiting for demo scheduling (push harder for dates), ICT assessment delays (provide documentation proactively), procurement process (cannot be shortened, but can be anticipated). Pre-qualify budget availability early.</w:t>
      </w:r>
    </w:p>
    <w:p>
      <w:pPr>
        <w:pStyle w:val="Heading3"/>
      </w:pPr>
      <w:bookmarkStart w:id="26" w:name="_Toc26"/>
      <w:r>
        <w:t>4.4 Cost Per Lead (CPL)</w:t>
      </w:r>
      <w:bookmarkEnd w:id="26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average cost to generate one qualified lead.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Total lead generation costs / Number of qualified leads generated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  <w:r>
        <w:rPr>
          <w:color w:val="333333"/>
          <w:sz w:val="22"/>
          <w:szCs w:val="22"/>
        </w:rPr>
        <w:t xml:space="preserve"> KES 2,000 - 5,000 per qualified lead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Monthly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Off-Track Action:</w:t>
      </w:r>
      <w:r>
        <w:rPr>
          <w:color w:val="333333"/>
          <w:sz w:val="22"/>
          <w:szCs w:val="22"/>
        </w:rPr>
        <w:t xml:space="preserve">Off-Track Action:</w:t>
      </w:r>
      <w:r>
        <w:rPr>
          <w:color w:val="333333"/>
          <w:sz w:val="22"/>
          <w:szCs w:val="22"/>
        </w:rPr>
        <w:t xml:space="preserve"> Shift spend to lower-cost lead sources. LinkedIn organic content and referrals have the lowest CPL; events and paid advertising have the highest.</w:t>
      </w:r>
    </w:p>
    <w:p>
      <w:pPr>
        <w:pStyle w:val="Heading3"/>
      </w:pPr>
      <w:bookmarkStart w:id="27" w:name="_Toc27"/>
      <w:r>
        <w:t>4.5 Activity Efficiency Ratios</w:t>
      </w:r>
      <w:bookmarkEnd w:id="27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Ratios measuring the productivity of sales activities.</w:t>
      </w:r>
    </w:p>
    <w:tbl>
      <w:tblGrid>
        <w:gridCol/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Ratio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Definition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Target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Emails to Response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Outreach emails sent per response received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5:1 to 8:1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Calls to Meeting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Calls made per meeting scheduled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4:1 to 6:1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Meetings to Demo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Meetings conducted per demo delivered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2:1 to 3:1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Demos to Pilot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Demos delivered per pilot initiated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2:1 to 3:1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Pilots to Customer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Pilots completed per paying customer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1.5:1 to 2:1</w:t>
            </w:r>
          </w:p>
        </w:tc>
      </w:tr>
    </w:tbl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Monthly</w:t>
      </w:r>
    </w:p>
    <w:p>
      <w:pPr>
        <w:pStyle w:val="Heading2"/>
      </w:pPr>
      <w:bookmarkStart w:id="28" w:name="_Toc28"/>
      <w:r>
        <w:t>5. RETENTION KPIs</w:t>
      </w:r>
      <w:bookmarkEnd w:id="28"/>
    </w:p>
    <w:p>
      <w:pPr>
        <w:pStyle w:val="Heading3"/>
      </w:pPr>
      <w:bookmarkStart w:id="29" w:name="_Toc29"/>
      <w:r>
        <w:t>5.1 Customer Churn Rate</w:t>
      </w:r>
      <w:bookmarkEnd w:id="29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percentage of customers who cancel or do not renew their subscription in a given period.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(Customers lost in period / Customers at start of period) x 100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Annual churn: Less than 15%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Monthly churn: Less than 1.5%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Ideal Target (Year 2+):</w:t>
      </w:r>
      <w:r>
        <w:rPr>
          <w:color w:val="333333"/>
          <w:sz w:val="22"/>
          <w:szCs w:val="22"/>
        </w:rPr>
        <w:t xml:space="preserve">Ideal Target (Year 2+):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Annual churn: Less than 10%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Monthly churn: Less than 1%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Monthly (tracked), Quarterly (action reviewed)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Off-Track Action:</w:t>
      </w:r>
      <w:r>
        <w:rPr>
          <w:color w:val="333333"/>
          <w:sz w:val="22"/>
          <w:szCs w:val="22"/>
        </w:rPr>
        <w:t xml:space="preserve">Off-Track Action:</w:t>
      </w:r>
      <w:r>
        <w:rPr>
          <w:color w:val="333333"/>
          <w:sz w:val="22"/>
          <w:szCs w:val="22"/>
        </w:rPr>
        <w:t xml:space="preserve"> If churn exceeds target, conduct exit interviews with churned customers. Common institutional churn reasons: change in management, budget cuts, underutilisation, technical issues. Address root causes: increase customer success touchpoints, improve training, ensure usage during board meetings.</w:t>
      </w:r>
    </w:p>
    <w:p>
      <w:pPr>
        <w:pStyle w:val="Heading3"/>
      </w:pPr>
      <w:bookmarkStart w:id="30" w:name="_Toc30"/>
      <w:r>
        <w:t>5.2 Revenue Churn Rate</w:t>
      </w:r>
      <w:bookmarkEnd w:id="30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percentage of recurring revenue lost due to cancellations and downgrades.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(MRR lost from churned/downgraded customers in period / MRR at start of period) x 100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Monthly revenue churn: Less than 2%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Annual revenue churn: Less than 15%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Monthly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Off-Track Action:</w:t>
      </w:r>
      <w:r>
        <w:rPr>
          <w:color w:val="333333"/>
          <w:sz w:val="22"/>
          <w:szCs w:val="22"/>
        </w:rPr>
        <w:t xml:space="preserve">Off-Track Action:</w:t>
      </w:r>
      <w:r>
        <w:rPr>
          <w:color w:val="333333"/>
          <w:sz w:val="22"/>
          <w:szCs w:val="22"/>
        </w:rPr>
        <w:t xml:space="preserve"> If a single large customer churns, it can spike this metric. Diversify customer base to avoid over-reliance on any single account. For large accounts, assign dedicated account management.</w:t>
      </w:r>
    </w:p>
    <w:p>
      <w:pPr>
        <w:pStyle w:val="Heading3"/>
      </w:pPr>
      <w:bookmarkStart w:id="31" w:name="_Toc31"/>
      <w:r>
        <w:t>5.3 Net Revenue Retention (NRR)</w:t>
      </w:r>
      <w:bookmarkEnd w:id="31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percentage of revenue retained from existing customers, including expansions, upsells, and churn.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(MRR at start of period + Expansion MRR - Churned MRR) / MRR at start of period x 100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Year 1: 90-100% (acceptable given early-stage dynamics)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Year 2+: 100-110% (target net positive — expansions should exceed churn)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Quarterly</w:t>
      </w:r>
    </w:p>
    <w:p>
      <w:pPr>
        <w:pStyle w:val="Heading3"/>
      </w:pPr>
      <w:bookmarkStart w:id="32" w:name="_Toc32"/>
      <w:r>
        <w:t>5.4 Renewal Rate</w:t>
      </w:r>
      <w:bookmarkEnd w:id="32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percentage of customers who renew their subscription when it comes due.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(Number of customers who renewed / Number of customers whose subscription was due for renewal) x 100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  <w:r>
        <w:rPr>
          <w:color w:val="333333"/>
          <w:sz w:val="22"/>
          <w:szCs w:val="22"/>
        </w:rPr>
        <w:t xml:space="preserve"> 80-85%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Year 2+ Target:</w:t>
      </w:r>
      <w:r>
        <w:rPr>
          <w:color w:val="333333"/>
          <w:sz w:val="22"/>
          <w:szCs w:val="22"/>
        </w:rPr>
        <w:t xml:space="preserve">Year 2+ Target:</w:t>
      </w:r>
      <w:r>
        <w:rPr>
          <w:color w:val="333333"/>
          <w:sz w:val="22"/>
          <w:szCs w:val="22"/>
        </w:rPr>
        <w:t xml:space="preserve"> 85-90%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Per renewal event, aggregated quarterly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Off-Track Action:</w:t>
      </w:r>
      <w:r>
        <w:rPr>
          <w:color w:val="333333"/>
          <w:sz w:val="22"/>
          <w:szCs w:val="22"/>
        </w:rPr>
        <w:t xml:space="preserve">Off-Track Action:</w:t>
      </w:r>
      <w:r>
        <w:rPr>
          <w:color w:val="333333"/>
          <w:sz w:val="22"/>
          <w:szCs w:val="22"/>
        </w:rPr>
        <w:t xml:space="preserve"> Begin renewal engagement 90 days before expiry. Conduct customer success reviews. Demonstrate value delivered (meetings conducted, documents managed, audit trail entries). Address any outstanding issues before renewal.</w:t>
      </w:r>
    </w:p>
    <w:p>
      <w:pPr>
        <w:pStyle w:val="Heading3"/>
      </w:pPr>
      <w:bookmarkStart w:id="33" w:name="_Toc33"/>
      <w:r>
        <w:t>5.5 Customer Lifetime Value (CLV/LTV)</w:t>
      </w:r>
      <w:bookmarkEnd w:id="33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predicted total revenue from a customer over the entire duration of their relationship with Losvinca.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Average Revenue Per Customer Per Year x Average Customer Lifespan (years)</w:t>
      </w:r>
    </w:p>
    <w:p>
      <w:pPr>
        <w:pStyle w:val="Normal"/>
      </w:pPr>
      <w:r>
        <w:rPr>
          <w:color w:val="333333"/>
          <w:sz w:val="22"/>
          <w:szCs w:val="22"/>
        </w:rPr>
        <w:t xml:space="preserve">Alternative: ARPC / Annual Churn Rate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  <w:r>
        <w:rPr>
          <w:color w:val="333333"/>
          <w:sz w:val="22"/>
          <w:szCs w:val="22"/>
        </w:rPr>
        <w:t xml:space="preserve"> KES 2,000,000 - 5,000,000 (based on 3-5 year average lifespan)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Annually (recalculated as data accumulates)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Key Ratio — LTV:CAC:</w:t>
      </w:r>
      <w:r>
        <w:rPr>
          <w:color w:val="333333"/>
          <w:sz w:val="22"/>
          <w:szCs w:val="22"/>
        </w:rPr>
        <w:t xml:space="preserve">Key Ratio — LTV:CAC:</w:t>
      </w:r>
      <w:r>
        <w:rPr>
          <w:color w:val="333333"/>
          <w:sz w:val="22"/>
          <w:szCs w:val="22"/>
        </w:rPr>
        <w:t xml:space="preserve"> Should be at least 3:1. If LTV is KES 3,000,000 and CAC is KES 200,000, the ratio is 15:1 (excellent). Below 3:1 indicates the business model needs adjustment.</w:t>
      </w:r>
    </w:p>
    <w:p>
      <w:pPr>
        <w:pStyle w:val="Heading3"/>
      </w:pPr>
      <w:bookmarkStart w:id="34" w:name="_Toc34"/>
      <w:r>
        <w:t>5.6 Referral Rate</w:t>
      </w:r>
      <w:bookmarkEnd w:id="34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The percentage of new customers acquired through referrals from existing customers.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(Number of new customers from referrals / Total new customers) x 100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Year 1: 10-15% of new customers from referrals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Year 2+: 20-30% of new customers from referrals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Quarterly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Off-Track Action:</w:t>
      </w:r>
      <w:r>
        <w:rPr>
          <w:color w:val="333333"/>
          <w:sz w:val="22"/>
          <w:szCs w:val="22"/>
        </w:rPr>
        <w:t xml:space="preserve">Off-Track Action:</w:t>
      </w:r>
      <w:r>
        <w:rPr>
          <w:color w:val="333333"/>
          <w:sz w:val="22"/>
          <w:szCs w:val="22"/>
        </w:rPr>
        <w:t xml:space="preserve"> If referral rate is low, actively ask for referrals at post-implementation and renewal touchpoints. Create a structured referral programme. Corporation Secretaries and CEOs network extensively within their sectors — leverage this.</w:t>
      </w:r>
    </w:p>
    <w:p>
      <w:pPr>
        <w:pStyle w:val="Heading3"/>
      </w:pPr>
      <w:bookmarkStart w:id="35" w:name="_Toc35"/>
      <w:r>
        <w:t>5.7 Net Promoter Score (NPS)</w:t>
      </w:r>
      <w:bookmarkEnd w:id="35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Definition:</w:t>
      </w:r>
      <w:r>
        <w:rPr>
          <w:color w:val="333333"/>
          <w:sz w:val="22"/>
          <w:szCs w:val="22"/>
        </w:rPr>
        <w:t xml:space="preserve">Definition:</w:t>
      </w:r>
      <w:r>
        <w:rPr>
          <w:color w:val="333333"/>
          <w:sz w:val="22"/>
          <w:szCs w:val="22"/>
        </w:rPr>
        <w:t xml:space="preserve"> A measure of customer satisfaction and likelihood to recommend E-Board.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Calculation:</w:t>
      </w:r>
      <w:r>
        <w:rPr>
          <w:color w:val="333333"/>
          <w:sz w:val="22"/>
          <w:szCs w:val="22"/>
        </w:rPr>
        <w:t xml:space="preserve">Calculation:</w:t>
      </w:r>
      <w:r>
        <w:rPr>
          <w:color w:val="333333"/>
          <w:sz w:val="22"/>
          <w:szCs w:val="22"/>
        </w:rPr>
        <w:t xml:space="preserve"> Survey customers with the question: "On a scale of 0-10, how likely are you to recommend E-Board to a colleague?" NPS = % Promoters (9-10) - % Detractors (0-6)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Recommended Initial Target:</w:t>
      </w:r>
      <w:r>
        <w:rPr>
          <w:color w:val="333333"/>
          <w:sz w:val="22"/>
          <w:szCs w:val="22"/>
        </w:rPr>
        <w:t xml:space="preserve">Recommended Initial Target:</w:t>
      </w:r>
      <w:r>
        <w:rPr>
          <w:color w:val="333333"/>
          <w:sz w:val="22"/>
          <w:szCs w:val="22"/>
        </w:rPr>
        <w:t xml:space="preserve"> NPS of 30-50 (good for B2B SaaS)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Year 2+ Target:</w:t>
      </w:r>
      <w:r>
        <w:rPr>
          <w:color w:val="333333"/>
          <w:sz w:val="22"/>
          <w:szCs w:val="22"/>
        </w:rPr>
        <w:t xml:space="preserve">Year 2+ Target:</w:t>
      </w:r>
      <w:r>
        <w:rPr>
          <w:color w:val="333333"/>
          <w:sz w:val="22"/>
          <w:szCs w:val="22"/>
        </w:rPr>
        <w:t xml:space="preserve"> NPS of 50+ (excellent)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Measurement Frequency:</w:t>
      </w:r>
      <w:r>
        <w:rPr>
          <w:color w:val="333333"/>
          <w:sz w:val="22"/>
          <w:szCs w:val="22"/>
        </w:rPr>
        <w:t xml:space="preserve">Measurement Frequency:</w:t>
      </w:r>
      <w:r>
        <w:rPr>
          <w:color w:val="333333"/>
          <w:sz w:val="22"/>
          <w:szCs w:val="22"/>
        </w:rPr>
        <w:t xml:space="preserve"> Semi-annually (survey all active customers)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Off-Track Action:</w:t>
      </w:r>
      <w:r>
        <w:rPr>
          <w:color w:val="333333"/>
          <w:sz w:val="22"/>
          <w:szCs w:val="22"/>
        </w:rPr>
        <w:t xml:space="preserve">Off-Track Action:</w:t>
      </w:r>
      <w:r>
        <w:rPr>
          <w:color w:val="333333"/>
          <w:sz w:val="22"/>
          <w:szCs w:val="22"/>
        </w:rPr>
        <w:t xml:space="preserve"> Follow up with detractors individually. Address their concerns. Identify systemic issues affecting satisfaction.</w:t>
      </w:r>
    </w:p>
    <w:p>
      <w:pPr>
        <w:pStyle w:val="Heading2"/>
      </w:pPr>
      <w:bookmarkStart w:id="36" w:name="_Toc36"/>
      <w:r>
        <w:t>KPI DASHBOARD SUMMARY</w:t>
      </w:r>
      <w:bookmarkEnd w:id="36"/>
    </w:p>
    <w:p>
      <w:pPr>
        <w:pStyle w:val="Heading3"/>
      </w:pPr>
      <w:bookmarkStart w:id="37" w:name="_Toc37"/>
      <w:r>
        <w:t>Primary KPIs (Track Weekly)</w:t>
      </w:r>
      <w:bookmarkEnd w:id="37"/>
    </w:p>
    <w:tbl>
      <w:tblGrid>
        <w:gridCol/>
        <w:gridCol/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KPI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Target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Current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Status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New leads generated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5-8/week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[REQUIRES LOSVINCA INPUT]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Meetings conducted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3-5/week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Demos delivered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1-2/week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Pipeline value (active)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Growing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</w:pPr>
      <w:bookmarkStart w:id="38" w:name="_Toc38"/>
      <w:r>
        <w:t>Secondary KPIs (Track Monthly)</w:t>
      </w:r>
      <w:bookmarkEnd w:id="38"/>
    </w:p>
    <w:tbl>
      <w:tblGrid>
        <w:gridCol/>
        <w:gridCol/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KPI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Target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Current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Status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Qualified prospects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8-12/month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[REQUIRES LOSVINCA INPUT]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Pilots initiated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1-2/month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MRR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Per target schedule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CAC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KES 100K-250K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Sales cycle (avg days)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90-120 days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</w:pPr>
      <w:bookmarkStart w:id="39" w:name="_Toc39"/>
      <w:r>
        <w:t>Strategic KPIs (Track Quarterly)</w:t>
      </w:r>
      <w:bookmarkEnd w:id="39"/>
    </w:p>
    <w:tbl>
      <w:tblGrid>
        <w:gridCol/>
        <w:gridCol/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KPI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Target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Current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Status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ARR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Per target schedule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[REQUIRES LOSVINCA INPUT]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Win rate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40-50%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Customer churn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Less than 15% annual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Renewal rate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80-85%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NRR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90-100%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LTV:CAC ratio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Greater than 3:1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Referral rate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10-15%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bookmarkStart w:id="40" w:name="_Toc40"/>
      <w:r>
        <w:t>REPORTING CADENCE</w:t>
      </w:r>
      <w:bookmarkEnd w:id="40"/>
    </w:p>
    <w:tbl>
      <w:tblGrid>
        <w:gridCol/>
        <w:gridCol/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Report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Frequency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Content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Audience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Daily Activity Log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Daily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Calls, emails, meetings, CRM updates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Salesperson self-management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Weekly Pipeline Review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Weekly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Stage movements, next actions, blockers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Sales team + founder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Monthly Sales Report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Monthly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All pipeline and revenue KPIs, trend analysis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Leadership team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Quarterly Business Review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Quarterly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Full KPI dashboard, conversion analysis, strategic adjustments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Leadership + investors/board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Annual Review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Annually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Year-in-review, all KPIs vs. targets, next-year targets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All stakeholders</w:t>
            </w:r>
          </w:p>
        </w:tc>
      </w:tr>
    </w:tbl>
    <w:p>
      <w:pPr>
        <w:pStyle w:val="Heading2"/>
      </w:pPr>
      <w:bookmarkStart w:id="41" w:name="_Toc41"/>
      <w:r>
        <w:t>YEAR 1 TARGET SUMMARY</w:t>
      </w:r>
      <w:bookmarkEnd w:id="41"/>
    </w:p>
    <w:tbl>
      <w:tblGrid>
        <w:gridCol/>
        <w:gridCol/>
        <w:gridCol/>
        <w:gridCol/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Metric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Q1 Target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Q2 Target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Q3 Target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Q4 Target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Year 1 Total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New leads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60-80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60-80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50-70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50-70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220-300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Qualified prospects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25-35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25-35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20-30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20-30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90-130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Demos delivered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10-15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12-18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10-15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10-15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42-63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Pilots initiated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5-7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5-8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4-6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4-6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18-27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New customers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3-4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4-5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3-5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3-5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13-19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MRR (end of quarter)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100K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300K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500K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800K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800K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ARR (end of quarter)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1.2M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3.6M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6.0M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9.6M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9.6M</w:t>
            </w:r>
          </w:p>
        </w:tc>
      </w:tr>
    </w:tbl>
    <w:p>
      <w:pPr>
        <w:pStyle w:val="Normal"/>
      </w:pPr>
      <w:r>
        <w:rPr>
          <w:color w:val="333333"/>
          <w:sz w:val="22"/>
          <w:szCs w:val="22"/>
          <w:i w:val="1"/>
          <w:iCs w:val="1"/>
        </w:rPr>
        <w:t xml:space="preserve">All KES values in thousands</w:t>
      </w:r>
      <w:r>
        <w:rPr>
          <w:color w:val="333333"/>
          <w:sz w:val="22"/>
          <w:szCs w:val="22"/>
        </w:rPr>
        <w:t xml:space="preserve">All KES values in thousands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Document Status:</w:t>
      </w:r>
      <w:r>
        <w:rPr>
          <w:color w:val="333333"/>
          <w:sz w:val="22"/>
          <w:szCs w:val="22"/>
        </w:rPr>
        <w:t xml:space="preserve">Document Status:</w:t>
      </w:r>
      <w:r>
        <w:rPr>
          <w:color w:val="333333"/>
          <w:sz w:val="22"/>
          <w:szCs w:val="22"/>
        </w:rPr>
        <w:t xml:space="preserve"> </w:t>
      </w:r>
      <w:r>
        <w:rPr>
          <w:color w:val="FFFFFF"/>
          <w:sz w:val="16"/>
          <w:szCs w:val="16"/>
          <w:b w:val="1"/>
          <w:bCs w:val="1"/>
          <w:shd w:val="clear" w:fill="27AE60"/>
        </w:rPr>
        <w:t xml:space="preserve"> READY TO USE 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Note:</w:t>
      </w:r>
      <w:r>
        <w:rPr>
          <w:color w:val="333333"/>
          <w:sz w:val="22"/>
          <w:szCs w:val="22"/>
        </w:rPr>
        <w:t xml:space="preserve">Note:</w:t>
      </w:r>
      <w:r>
        <w:rPr>
          <w:color w:val="333333"/>
          <w:sz w:val="22"/>
          <w:szCs w:val="22"/>
        </w:rPr>
        <w:t xml:space="preserve"> </w:t>
      </w:r>
      <w:r>
        <w:rPr>
          <w:color w:val="FFFFFF"/>
          <w:sz w:val="16"/>
          <w:szCs w:val="16"/>
          <w:b w:val="1"/>
          <w:bCs w:val="1"/>
          <w:shd w:val="clear" w:fill="E67E22"/>
        </w:rPr>
        <w:t xml:space="preserve"> REQUIRES LOSVINCA INPUT </w:t>
      </w:r>
      <w:r>
        <w:rPr>
          <w:color w:val="333333"/>
          <w:sz w:val="22"/>
          <w:szCs w:val="22"/>
        </w:rPr>
        <w:t xml:space="preserve"> — Actual current values to be filled in once tracking begins. Targets should be reviewed and adjusted after the first 90 days based on market reality.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Cross-references:</w:t>
      </w:r>
      <w:r>
        <w:rPr>
          <w:color w:val="333333"/>
          <w:sz w:val="22"/>
          <w:szCs w:val="22"/>
        </w:rPr>
        <w:t xml:space="preserve">Cross-references:</w:t>
      </w:r>
      <w:r>
        <w:rPr>
          <w:color w:val="333333"/>
          <w:sz w:val="22"/>
          <w:szCs w:val="22"/>
        </w:rPr>
        <w:t xml:space="preserve"> Parts 13 (Pricing), 22 (Sales Funnel), 23 (90-Day Plan) of the Sales Kit</w:t>
      </w:r>
    </w:p>
    <w:sectPr>
      <w:headerReference w:type="default" r:id="rId7"/>
      <w:footerReference w:type="default" r:id="rId8"/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999999"/>
        <w:sz w:val="16"/>
        <w:szCs w:val="16"/>
      </w:rPr>
      <w:t xml:space="preserve">CONFIDENTIAL | Losvinca E-Board Sales Kit | Page </w:t>
    </w:r>
    <w:r>
      <w:fldChar w:fldCharType="begin"/>
    </w:r>
    <w:r>
      <w:rPr>
        <w:color w:val="999999"/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color w:val="999999"/>
        <w:sz w:val="16"/>
        <w:szCs w:val="16"/>
      </w:rPr>
      <w:t xml:space="preserve"> of </w:t>
    </w:r>
    <w:r>
      <w:fldChar w:fldCharType="begin"/>
    </w:r>
    <w:r>
      <w:rPr>
        <w:color w:val="999999"/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</w:pPr>
    <w:r>
      <w:rPr>
        <w:color w:val="2E86C1"/>
        <w:sz w:val="16"/>
        <w:szCs w:val="16"/>
        <w:i w:val="1"/>
        <w:iCs w:val="1"/>
      </w:rPr>
      <w:t xml:space="preserve">E-Board by Losvinca — Digital Board Governance Platform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nsid w:val="BBC55188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04382060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>
        <w:rFonts w:ascii="" w:hAnsi="" w:cs="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8">
    <w:abstractNumId w:val="8"/>
  </w:num>
  <w:num w:numId="9">
    <w:abstractNumId w:val="9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  <w:pPr>
      <w:spacing w:after="80" w:line="276" w:lineRule="auto"/>
    </w:pPr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40" w:after="120"/>
    </w:pPr>
    <w:rPr>
      <w:color w:val="1B4F72"/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80"/>
      <w:pBdr>
        <w:bottom w:val="single" w:sz="6" w:color="AED6F1"/>
      </w:pBdr>
    </w:pPr>
    <w:rPr>
      <w:color w:val="1B4F72"/>
      <w:sz w:val="32"/>
      <w:szCs w:val="32"/>
      <w:b w:val="1"/>
      <w:bCs w:val="1"/>
    </w:rPr>
  </w:style>
  <w:style w:type="paragraph" w:styleId="Heading3">
    <w:link w:val="Heading3Char"/>
    <w:name w:val="heading 3"/>
    <w:basedOn w:val="Normal"/>
    <w:pPr>
      <w:spacing w:before="200" w:after="60"/>
    </w:pPr>
    <w:rPr>
      <w:color w:val="2E86C1"/>
      <w:sz w:val="26"/>
      <w:szCs w:val="26"/>
      <w:b w:val="1"/>
      <w:bCs w:val="1"/>
    </w:rPr>
  </w:style>
  <w:style w:type="paragraph" w:styleId="Heading4">
    <w:link w:val="Heading4Char"/>
    <w:name w:val="heading 4"/>
    <w:basedOn w:val="Normal"/>
    <w:pPr>
      <w:spacing w:before="160" w:after="40"/>
    </w:pPr>
    <w:rPr>
      <w:color w:val="2C3E50"/>
      <w:sz w:val="22"/>
      <w:szCs w:val="22"/>
      <w:b w:val="1"/>
      <w:bCs w:val="1"/>
    </w:rPr>
  </w:style>
  <w:style w:type="paragraph" w:customStyle="1" w:styleId="Quote">
    <w:name w:val="Quote"/>
    <w:basedOn w:val="Normal"/>
    <w:pPr>
      <w:ind w:left="480" w:right="0"/>
      <w:spacing w:after="80"/>
      <w:pBdr>
        <w:left w:val="single" w:sz="18" w:color="2E86C1"/>
      </w:pBdr>
    </w:pPr>
  </w:style>
  <w:style w:type="paragraph" w:customStyle="1" w:styleId="ListBullet">
    <w:name w:val="ListBullet"/>
    <w:basedOn w:val="Normal"/>
    <w:pPr>
      <w:ind w:left="360" w:right="0" w:hanging="360"/>
      <w:spacing w:after="40" w:line="276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2026-08-11T10:26:04+02:00</dcterms:created>
  <dcterms:modified xsi:type="dcterms:W3CDTF">2026-08-11T10:26:04+02:00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