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26 — FINAL COMMERCIAL POSITIONING</w:t>
      </w:r>
      <w:bookmarkEnd w:id="1"/>
    </w:p>
    <w:p>
      <w:pPr>
        <w:pStyle w:val="Heading2"/>
      </w:pPr>
      <w:bookmarkStart w:id="2" w:name="_Toc2"/>
      <w:r>
        <w:t>Losvinca Sales Kit | Executive Summary and Action Plan</w:t>
      </w:r>
      <w:bookmarkEnd w:id="2"/>
    </w:p>
    <w:p>
      <w:pPr>
        <w:pStyle w:val="Normal"/>
      </w:pPr>
      <w:r>
        <w:rPr>
          <w:color w:val="2C3E50"/>
          <w:sz w:val="22"/>
          <w:szCs w:val="22"/>
          <w:b w:val="1"/>
          <w:bCs w:val="1"/>
        </w:rPr>
        <w:t xml:space="preserve">Document Classification:</w:t>
      </w:r>
      <w:r>
        <w:rPr>
          <w:color w:val="333333"/>
          <w:sz w:val="22"/>
          <w:szCs w:val="22"/>
        </w:rPr>
        <w:t xml:space="preserve">Document Classification:</w:t>
      </w:r>
      <w:r>
        <w:rPr>
          <w:color w:val="333333"/>
          <w:sz w:val="22"/>
          <w:szCs w:val="22"/>
        </w:rPr>
        <w:t xml:space="preserve"> Strategic — Losvinca Leadership</w:t>
      </w:r>
    </w:p>
    <w:p>
      <w:pPr>
        <w:pStyle w:val="Normal"/>
      </w:pPr>
      <w:r>
        <w:rPr>
          <w:color w:val="2C3E50"/>
          <w:sz w:val="22"/>
          <w:szCs w:val="22"/>
          <w:b w:val="1"/>
          <w:bCs w:val="1"/>
        </w:rPr>
        <w:t xml:space="preserve">Applicability:</w:t>
      </w:r>
      <w:r>
        <w:rPr>
          <w:color w:val="333333"/>
          <w:sz w:val="22"/>
          <w:szCs w:val="22"/>
        </w:rPr>
        <w:t xml:space="preserve">Applicability:</w:t>
      </w:r>
      <w:r>
        <w:rPr>
          <w:color w:val="333333"/>
          <w:sz w:val="22"/>
          <w:szCs w:val="22"/>
        </w:rPr>
        <w:t xml:space="preserve"> Kenya and African Institutional Markets</w:t>
      </w:r>
    </w:p>
    <w:p>
      <w:pPr>
        <w:pStyle w:val="Normal"/>
      </w:pPr>
      <w:r>
        <w:rPr>
          <w:color w:val="2C3E50"/>
          <w:sz w:val="22"/>
          <w:szCs w:val="22"/>
          <w:b w:val="1"/>
          <w:bCs w:val="1"/>
        </w:rPr>
        <w:t xml:space="preserve">Status:</w:t>
      </w:r>
      <w:r>
        <w:rPr>
          <w:color w:val="333333"/>
          <w:sz w:val="22"/>
          <w:szCs w:val="22"/>
        </w:rPr>
        <w:t xml:space="preserve">Status:</w:t>
      </w:r>
      <w:r>
        <w:rPr>
          <w:color w:val="333333"/>
          <w:sz w:val="22"/>
          <w:szCs w:val="22"/>
        </w:rPr>
        <w:t xml:space="preserve"> </w:t>
      </w:r>
      <w:r>
        <w:rPr>
          <w:color w:val="FFFFFF"/>
          <w:sz w:val="16"/>
          <w:szCs w:val="16"/>
          <w:b w:val="1"/>
          <w:bCs w:val="1"/>
          <w:shd w:val="clear" w:fill="27AE60"/>
        </w:rPr>
        <w:t xml:space="preserve"> READY TO USE </w:t>
      </w:r>
    </w:p>
    <w:p>
      <w:pPr>
        <w:pStyle w:val="Heading2"/>
      </w:pPr>
      <w:bookmarkStart w:id="3" w:name="_Toc3"/>
      <w:r>
        <w:t>1. LOSVINCA'S RECOMMENDED MARKET POSITIONING</w:t>
      </w:r>
      <w:bookmarkEnd w:id="3"/>
    </w:p>
    <w:p>
      <w:pPr>
        <w:pStyle w:val="Heading3"/>
      </w:pPr>
      <w:bookmarkStart w:id="4" w:name="_Toc4"/>
      <w:r>
        <w:t>Position: Africa's Specialist Board Governance Technology Company</w:t>
      </w:r>
      <w:bookmarkEnd w:id="4"/>
    </w:p>
    <w:p>
      <w:pPr>
        <w:pStyle w:val="Normal"/>
      </w:pPr>
      <w:r>
        <w:rPr>
          <w:color w:val="333333"/>
          <w:sz w:val="22"/>
          <w:szCs w:val="22"/>
        </w:rPr>
        <w:t xml:space="preserve">Losvinca should position itself not as a general software company, but as a specialist firm focused exclusively on board governance technology for institutions with formal governance structures.</w:t>
      </w:r>
    </w:p>
    <w:p>
      <w:pPr>
        <w:pStyle w:val="Normal"/>
      </w:pPr>
      <w:r>
        <w:rPr>
          <w:color w:val="2C3E50"/>
          <w:sz w:val="22"/>
          <w:szCs w:val="22"/>
          <w:b w:val="1"/>
          <w:bCs w:val="1"/>
        </w:rPr>
        <w:t xml:space="preserve">Why this positioning works:</w:t>
      </w:r>
      <w:r>
        <w:rPr>
          <w:color w:val="333333"/>
          <w:sz w:val="22"/>
          <w:szCs w:val="22"/>
        </w:rPr>
        <w:t xml:space="preserve">Why this positioning works:</w:t>
      </w:r>
    </w:p>
    <w:p>
      <w:pPr>
        <w:pStyle w:val="ListBullet"/>
        <w:numPr>
          <w:ilvl w:val="0"/>
          <w:numId w:val="8"/>
        </w:numPr>
      </w:pPr>
      <w:r>
        <w:rPr>
          <w:color w:val="2C3E50"/>
          <w:sz w:val="22"/>
          <w:szCs w:val="22"/>
          <w:b w:val="1"/>
          <w:bCs w:val="1"/>
        </w:rPr>
        <w:t xml:space="preserve">Specialist credibility:</w:t>
      </w:r>
      <w:r>
        <w:rPr>
          <w:color w:val="333333"/>
          <w:sz w:val="22"/>
          <w:szCs w:val="22"/>
        </w:rPr>
        <w:t xml:space="preserve">Specialist credibility:</w:t>
      </w:r>
      <w:r>
        <w:rPr>
          <w:color w:val="333333"/>
          <w:sz w:val="22"/>
          <w:szCs w:val="22"/>
        </w:rPr>
        <w:t xml:space="preserve"> Institutions trust domain experts over generalists. A company dedicated to board governance understands the compliance requirements, procedural complexities, and stakeholder dynamics that generic software firms do not.</w:t>
      </w:r>
    </w:p>
    <w:p>
      <w:pPr>
        <w:pStyle w:val="ListBullet"/>
        <w:numPr>
          <w:ilvl w:val="0"/>
          <w:numId w:val="8"/>
        </w:numPr>
      </w:pPr>
      <w:r>
        <w:rPr>
          <w:color w:val="2C3E50"/>
          <w:sz w:val="22"/>
          <w:szCs w:val="22"/>
          <w:b w:val="1"/>
          <w:bCs w:val="1"/>
        </w:rPr>
        <w:t xml:space="preserve">Defensible niche:</w:t>
      </w:r>
      <w:r>
        <w:rPr>
          <w:color w:val="333333"/>
          <w:sz w:val="22"/>
          <w:szCs w:val="22"/>
        </w:rPr>
        <w:t xml:space="preserve">Defensible niche:</w:t>
      </w:r>
      <w:r>
        <w:rPr>
          <w:color w:val="333333"/>
          <w:sz w:val="22"/>
          <w:szCs w:val="22"/>
        </w:rPr>
        <w:t xml:space="preserve"> The intersection of board governance and technology in Africa is underserved. By claiming this niche early, Losvinca builds brand association with the category before larger players enter.</w:t>
      </w:r>
    </w:p>
    <w:p>
      <w:pPr>
        <w:pStyle w:val="ListBullet"/>
        <w:numPr>
          <w:ilvl w:val="0"/>
          <w:numId w:val="8"/>
        </w:numPr>
      </w:pPr>
      <w:r>
        <w:rPr>
          <w:color w:val="2C3E50"/>
          <w:sz w:val="22"/>
          <w:szCs w:val="22"/>
          <w:b w:val="1"/>
          <w:bCs w:val="1"/>
        </w:rPr>
        <w:t xml:space="preserve">Premium pricing justification:</w:t>
      </w:r>
      <w:r>
        <w:rPr>
          <w:color w:val="333333"/>
          <w:sz w:val="22"/>
          <w:szCs w:val="22"/>
        </w:rPr>
        <w:t xml:space="preserve">Premium pricing justification:</w:t>
      </w:r>
      <w:r>
        <w:rPr>
          <w:color w:val="333333"/>
          <w:sz w:val="22"/>
          <w:szCs w:val="22"/>
        </w:rPr>
        <w:t xml:space="preserve"> Specialist solutions command higher prices than generic tools repurposed for governance. Organisations expect to pay more for purpose-built software that understands their regulatory environment.</w:t>
      </w:r>
    </w:p>
    <w:p>
      <w:pPr>
        <w:pStyle w:val="ListBullet"/>
        <w:numPr>
          <w:ilvl w:val="0"/>
          <w:numId w:val="8"/>
        </w:numPr>
      </w:pPr>
      <w:r>
        <w:rPr>
          <w:color w:val="2C3E50"/>
          <w:sz w:val="22"/>
          <w:szCs w:val="22"/>
          <w:b w:val="1"/>
          <w:bCs w:val="1"/>
        </w:rPr>
        <w:t xml:space="preserve">Referral network effect:</w:t>
      </w:r>
      <w:r>
        <w:rPr>
          <w:color w:val="333333"/>
          <w:sz w:val="22"/>
          <w:szCs w:val="22"/>
        </w:rPr>
        <w:t xml:space="preserve">Referral network effect:</w:t>
      </w:r>
      <w:r>
        <w:rPr>
          <w:color w:val="333333"/>
          <w:sz w:val="22"/>
          <w:szCs w:val="22"/>
        </w:rPr>
        <w:t xml:space="preserve"> Corporation Secretaries, governance professionals, and board members operate within tight professional networks (ICPSK, IoD-K, professional associations). A strong specialist reputation in this community creates a self-reinforcing referral loop.</w:t>
      </w:r>
    </w:p>
    <w:p>
      <w:pPr>
        <w:pStyle w:val="Normal"/>
      </w:pPr>
      <w:r>
        <w:rPr>
          <w:color w:val="2C3E50"/>
          <w:sz w:val="22"/>
          <w:szCs w:val="22"/>
          <w:b w:val="1"/>
          <w:bCs w:val="1"/>
        </w:rPr>
        <w:t xml:space="preserve">Positioning statement for internal use:</w:t>
      </w:r>
      <w:r>
        <w:rPr>
          <w:color w:val="333333"/>
          <w:sz w:val="22"/>
          <w:szCs w:val="22"/>
        </w:rPr>
        <w:t xml:space="preserve">Positioning statement for internal use:</w:t>
      </w:r>
    </w:p>
    <w:p>
      <w:pPr>
        <w:pStyle w:val="Quote"/>
      </w:pPr>
      <w:r>
        <w:rPr>
          <w:color w:val="555555"/>
          <w:sz w:val="22"/>
          <w:szCs w:val="22"/>
          <w:i w:val="1"/>
          <w:iCs w:val="1"/>
        </w:rPr>
        <w:t xml:space="preserve">Losvinca is Africa's specialist board governance technology company. We build purpose-built digital solutions that help institutions run compliant, efficient, and transparent board operations — from the first notice to the final resolution.</w:t>
      </w:r>
    </w:p>
    <w:p>
      <w:pPr>
        <w:pStyle w:val="Heading2"/>
      </w:pPr>
      <w:bookmarkStart w:id="5" w:name="_Toc5"/>
      <w:r>
        <w:t>2. E-BOARD'S RECOMMENDED POSITIONING</w:t>
      </w:r>
      <w:bookmarkEnd w:id="5"/>
    </w:p>
    <w:p>
      <w:pPr>
        <w:pStyle w:val="Heading3"/>
      </w:pPr>
      <w:bookmarkStart w:id="6" w:name="_Toc6"/>
      <w:r>
        <w:t>Position: The Complete Board Governance Platform Built for African Institutions</w:t>
      </w:r>
      <w:bookmarkEnd w:id="6"/>
    </w:p>
    <w:p>
      <w:pPr>
        <w:pStyle w:val="Normal"/>
      </w:pPr>
      <w:r>
        <w:rPr>
          <w:color w:val="333333"/>
          <w:sz w:val="22"/>
          <w:szCs w:val="22"/>
        </w:rPr>
        <w:t xml:space="preserve">E-Board should be positioned as the only digital governance platform purpose-built for the African institutional context — designed around the way boards in Kenya and Africa actually operate, not adapted from Western models.</w:t>
      </w:r>
    </w:p>
    <w:p>
      <w:pPr>
        <w:pStyle w:val="Normal"/>
      </w:pPr>
      <w:r>
        <w:rPr>
          <w:color w:val="2C3E50"/>
          <w:sz w:val="22"/>
          <w:szCs w:val="22"/>
          <w:b w:val="1"/>
          <w:bCs w:val="1"/>
        </w:rPr>
        <w:t xml:space="preserve">Key differentiators to emphasise:</w:t>
      </w:r>
      <w:r>
        <w:rPr>
          <w:color w:val="333333"/>
          <w:sz w:val="22"/>
          <w:szCs w:val="22"/>
        </w:rPr>
        <w:t xml:space="preserve">Key differentiators to emphasise:</w:t>
      </w:r>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Differentiator</w:t>
            </w:r>
          </w:p>
        </w:tc>
        <w:tc>
          <w:tcPr>
            <w:vAlign w:val="top"/>
            <w:shd w:val="clear" w:fill="1B4F72"/>
          </w:tcPr>
          <w:p>
            <w:pPr>
              <w:spacing w:after="20"/>
            </w:pPr>
            <w:r>
              <w:rPr>
                <w:color w:val="FFFFFF"/>
                <w:sz w:val="18"/>
                <w:szCs w:val="18"/>
                <w:b w:val="1"/>
                <w:bCs w:val="1"/>
              </w:rPr>
              <w:t xml:space="preserve">What It Means</w:t>
            </w:r>
          </w:p>
        </w:tc>
      </w:tr>
      <w:tr>
        <w:trPr/>
        <w:tc>
          <w:tcPr>
            <w:vAlign w:val="top"/>
          </w:tcPr>
          <w:p>
            <w:pPr>
              <w:spacing w:after="20"/>
            </w:pPr>
            <w:r>
              <w:rPr>
                <w:color w:val="333333"/>
                <w:sz w:val="18"/>
                <w:szCs w:val="18"/>
              </w:rPr>
              <w:t xml:space="preserve">Purpose-built for African governance</w:t>
            </w:r>
          </w:p>
        </w:tc>
        <w:tc>
          <w:tcPr>
            <w:vAlign w:val="top"/>
          </w:tcPr>
          <w:p>
            <w:pPr>
              <w:spacing w:after="20"/>
            </w:pPr>
            <w:r>
              <w:rPr>
                <w:color w:val="333333"/>
                <w:sz w:val="18"/>
                <w:szCs w:val="18"/>
              </w:rPr>
              <w:t xml:space="preserve">Designed around Mwongozo, Kenyan fiscal year (July-June), and the Corporation Secretary model</w:t>
            </w:r>
          </w:p>
        </w:tc>
      </w:tr>
      <w:tr>
        <w:trPr/>
        <w:tc>
          <w:tcPr>
            <w:vAlign w:val="top"/>
            <w:shd w:val="clear" w:fill="F8F9FA"/>
          </w:tcPr>
          <w:p>
            <w:pPr>
              <w:spacing w:after="20"/>
            </w:pPr>
            <w:r>
              <w:rPr>
                <w:color w:val="333333"/>
                <w:sz w:val="18"/>
                <w:szCs w:val="18"/>
              </w:rPr>
              <w:t xml:space="preserve">Complete meeting lifecycle</w:t>
            </w:r>
          </w:p>
        </w:tc>
        <w:tc>
          <w:tcPr>
            <w:vAlign w:val="top"/>
            <w:shd w:val="clear" w:fill="F8F9FA"/>
          </w:tcPr>
          <w:p>
            <w:pPr>
              <w:spacing w:after="20"/>
            </w:pPr>
            <w:r>
              <w:rPr>
                <w:color w:val="333333"/>
                <w:sz w:val="18"/>
                <w:szCs w:val="18"/>
              </w:rPr>
              <w:t xml:space="preserve">10-stage workflow from initiation through minutes — not just document sharing</w:t>
            </w:r>
          </w:p>
        </w:tc>
      </w:tr>
      <w:tr>
        <w:trPr/>
        <w:tc>
          <w:tcPr>
            <w:vAlign w:val="top"/>
          </w:tcPr>
          <w:p>
            <w:pPr>
              <w:spacing w:after="20"/>
            </w:pPr>
            <w:r>
              <w:rPr>
                <w:color w:val="333333"/>
                <w:sz w:val="18"/>
                <w:szCs w:val="18"/>
              </w:rPr>
              <w:t xml:space="preserve">Compliance by design</w:t>
            </w:r>
          </w:p>
        </w:tc>
        <w:tc>
          <w:tcPr>
            <w:vAlign w:val="top"/>
          </w:tcPr>
          <w:p>
            <w:pPr>
              <w:spacing w:after="20"/>
            </w:pPr>
            <w:r>
              <w:rPr>
                <w:color w:val="333333"/>
                <w:sz w:val="18"/>
                <w:szCs w:val="18"/>
              </w:rPr>
              <w:t xml:space="preserve">Audit trail, conflict of interest with OTP, 10-day notice enforcement, digital signatures</w:t>
            </w:r>
          </w:p>
        </w:tc>
      </w:tr>
      <w:tr>
        <w:trPr/>
        <w:tc>
          <w:tcPr>
            <w:vAlign w:val="top"/>
            <w:shd w:val="clear" w:fill="F8F9FA"/>
          </w:tcPr>
          <w:p>
            <w:pPr>
              <w:spacing w:after="20"/>
            </w:pPr>
            <w:r>
              <w:rPr>
                <w:color w:val="333333"/>
                <w:sz w:val="18"/>
                <w:szCs w:val="18"/>
              </w:rPr>
              <w:t xml:space="preserve">Full white-label capability</w:t>
            </w:r>
          </w:p>
        </w:tc>
        <w:tc>
          <w:tcPr>
            <w:vAlign w:val="top"/>
            <w:shd w:val="clear" w:fill="F8F9FA"/>
          </w:tcPr>
          <w:p>
            <w:pPr>
              <w:spacing w:after="20"/>
            </w:pPr>
            <w:r>
              <w:rPr>
                <w:color w:val="333333"/>
                <w:sz w:val="18"/>
                <w:szCs w:val="18"/>
              </w:rPr>
              <w:t xml:space="preserve">Each institution operates E-Board as their own branded platform</w:t>
            </w:r>
          </w:p>
        </w:tc>
      </w:tr>
      <w:tr>
        <w:trPr/>
        <w:tc>
          <w:tcPr>
            <w:vAlign w:val="top"/>
          </w:tcPr>
          <w:p>
            <w:pPr>
              <w:spacing w:after="20"/>
            </w:pPr>
            <w:r>
              <w:rPr>
                <w:color w:val="333333"/>
                <w:sz w:val="18"/>
                <w:szCs w:val="18"/>
              </w:rPr>
              <w:t xml:space="preserve">Rapid deployment</w:t>
            </w:r>
          </w:p>
        </w:tc>
        <w:tc>
          <w:tcPr>
            <w:vAlign w:val="top"/>
          </w:tcPr>
          <w:p>
            <w:pPr>
              <w:spacing w:after="20"/>
            </w:pPr>
            <w:r>
              <w:rPr>
                <w:color w:val="333333"/>
                <w:sz w:val="18"/>
                <w:szCs w:val="18"/>
              </w:rPr>
              <w:t xml:space="preserve">6-step setup wizard enables go-live within days, not months</w:t>
            </w:r>
          </w:p>
        </w:tc>
      </w:tr>
      <w:tr>
        <w:trPr/>
        <w:tc>
          <w:tcPr>
            <w:vAlign w:val="top"/>
            <w:shd w:val="clear" w:fill="F8F9FA"/>
          </w:tcPr>
          <w:p>
            <w:pPr>
              <w:spacing w:after="20"/>
            </w:pPr>
            <w:r>
              <w:rPr>
                <w:color w:val="333333"/>
                <w:sz w:val="18"/>
                <w:szCs w:val="18"/>
              </w:rPr>
              <w:t xml:space="preserve">Role-specific design</w:t>
            </w:r>
          </w:p>
        </w:tc>
        <w:tc>
          <w:tcPr>
            <w:vAlign w:val="top"/>
            <w:shd w:val="clear" w:fill="F8F9FA"/>
          </w:tcPr>
          <w:p>
            <w:pPr>
              <w:spacing w:after="20"/>
            </w:pPr>
            <w:r>
              <w:rPr>
                <w:color w:val="333333"/>
                <w:sz w:val="18"/>
                <w:szCs w:val="18"/>
              </w:rPr>
              <w:t xml:space="preserve">10 system roles reflecting actual board governance structures</w:t>
            </w:r>
          </w:p>
        </w:tc>
      </w:tr>
    </w:tbl>
    <w:p>
      <w:pPr>
        <w:pStyle w:val="Normal"/>
      </w:pPr>
      <w:r>
        <w:rPr>
          <w:color w:val="2C3E50"/>
          <w:sz w:val="22"/>
          <w:szCs w:val="22"/>
          <w:b w:val="1"/>
          <w:bCs w:val="1"/>
        </w:rPr>
        <w:t xml:space="preserve">Positioning statement for external use:</w:t>
      </w:r>
      <w:r>
        <w:rPr>
          <w:color w:val="333333"/>
          <w:sz w:val="22"/>
          <w:szCs w:val="22"/>
        </w:rPr>
        <w:t xml:space="preserve">Positioning statement for external use:</w:t>
      </w:r>
    </w:p>
    <w:p>
      <w:pPr>
        <w:pStyle w:val="Quote"/>
      </w:pPr>
      <w:r>
        <w:rPr>
          <w:color w:val="555555"/>
          <w:sz w:val="22"/>
          <w:szCs w:val="22"/>
          <w:i w:val="1"/>
          <w:iCs w:val="1"/>
        </w:rPr>
        <w:t xml:space="preserve">E-Board is the complete digital board governance platform built for African institutions. From meeting planning through minutes and resolutions, E-Board digitises the entire board lifecycle with built-in compliance, security, and transparency — deployed in your brand, under your control.</w:t>
      </w:r>
    </w:p>
    <w:p>
      <w:pPr>
        <w:pStyle w:val="Heading2"/>
      </w:pPr>
      <w:bookmarkStart w:id="7" w:name="_Toc7"/>
      <w:r>
        <w:t>3. ONE-LINE COMPANY STATEMENT</w:t>
      </w:r>
      <w:bookmarkEnd w:id="7"/>
    </w:p>
    <w:p>
      <w:pPr>
        <w:pStyle w:val="Normal"/>
      </w:pPr>
      <w:r>
        <w:rPr>
          <w:color w:val="FFFFFF"/>
          <w:sz w:val="16"/>
          <w:szCs w:val="16"/>
          <w:b w:val="1"/>
          <w:bCs w:val="1"/>
          <w:shd w:val="clear" w:fill="27AE60"/>
        </w:rPr>
        <w:t xml:space="preserve"> READY TO USE </w:t>
      </w:r>
    </w:p>
    <w:p>
      <w:pPr>
        <w:pStyle w:val="Quote"/>
      </w:pPr>
      <w:r>
        <w:rPr>
          <w:color w:val="2C3E50"/>
          <w:sz w:val="22"/>
          <w:szCs w:val="22"/>
          <w:b w:val="1"/>
          <w:bCs w:val="1"/>
          <w:i w:val="1"/>
          <w:iCs w:val="1"/>
        </w:rPr>
        <w:t xml:space="preserve">"Losvinca builds the technology that powers Africa's boardrooms."</w:t>
      </w:r>
      <w:r>
        <w:rPr>
          <w:color w:val="555555"/>
          <w:sz w:val="22"/>
          <w:szCs w:val="22"/>
          <w:i w:val="1"/>
          <w:iCs w:val="1"/>
        </w:rPr>
        <w:t xml:space="preserve">"Losvinca builds the technology that powers Africa's boardrooms."</w:t>
      </w:r>
    </w:p>
    <w:p>
      <w:pPr>
        <w:pStyle w:val="Normal"/>
      </w:pPr>
      <w:r>
        <w:rPr>
          <w:color w:val="2C3E50"/>
          <w:sz w:val="22"/>
          <w:szCs w:val="22"/>
          <w:b w:val="1"/>
          <w:bCs w:val="1"/>
        </w:rPr>
        <w:t xml:space="preserve">Usage:</w:t>
      </w:r>
      <w:r>
        <w:rPr>
          <w:color w:val="333333"/>
          <w:sz w:val="22"/>
          <w:szCs w:val="22"/>
        </w:rPr>
        <w:t xml:space="preserve">Usage:</w:t>
      </w:r>
      <w:r>
        <w:rPr>
          <w:color w:val="333333"/>
          <w:sz w:val="22"/>
          <w:szCs w:val="22"/>
        </w:rPr>
        <w:t xml:space="preserve"> Company website header, LinkedIn tagline, email signatures, presentation title slides, business cards.</w:t>
      </w:r>
    </w:p>
    <w:p>
      <w:pPr>
        <w:pStyle w:val="Heading2"/>
      </w:pPr>
      <w:bookmarkStart w:id="8" w:name="_Toc8"/>
      <w:r>
        <w:t>4. ONE-LINE PRODUCT STATEMENT</w:t>
      </w:r>
      <w:bookmarkEnd w:id="8"/>
    </w:p>
    <w:p>
      <w:pPr>
        <w:pStyle w:val="Normal"/>
      </w:pPr>
      <w:r>
        <w:rPr>
          <w:color w:val="FFFFFF"/>
          <w:sz w:val="16"/>
          <w:szCs w:val="16"/>
          <w:b w:val="1"/>
          <w:bCs w:val="1"/>
          <w:shd w:val="clear" w:fill="27AE60"/>
        </w:rPr>
        <w:t xml:space="preserve"> READY TO USE </w:t>
      </w:r>
    </w:p>
    <w:p>
      <w:pPr>
        <w:pStyle w:val="Quote"/>
      </w:pPr>
      <w:r>
        <w:rPr>
          <w:color w:val="2C3E50"/>
          <w:sz w:val="22"/>
          <w:szCs w:val="22"/>
          <w:b w:val="1"/>
          <w:bCs w:val="1"/>
          <w:i w:val="1"/>
          <w:iCs w:val="1"/>
        </w:rPr>
        <w:t xml:space="preserve">"E-Board: The complete board governance platform — from notice to resolution."</w:t>
      </w:r>
      <w:r>
        <w:rPr>
          <w:color w:val="555555"/>
          <w:sz w:val="22"/>
          <w:szCs w:val="22"/>
          <w:i w:val="1"/>
          <w:iCs w:val="1"/>
        </w:rPr>
        <w:t xml:space="preserve">"E-Board: The complete board governance platform — from notice to resolution."</w:t>
      </w:r>
    </w:p>
    <w:p>
      <w:pPr>
        <w:pStyle w:val="Normal"/>
      </w:pPr>
      <w:r>
        <w:rPr>
          <w:color w:val="2C3E50"/>
          <w:sz w:val="22"/>
          <w:szCs w:val="22"/>
          <w:b w:val="1"/>
          <w:bCs w:val="1"/>
        </w:rPr>
        <w:t xml:space="preserve">Usage:</w:t>
      </w:r>
      <w:r>
        <w:rPr>
          <w:color w:val="333333"/>
          <w:sz w:val="22"/>
          <w:szCs w:val="22"/>
        </w:rPr>
        <w:t xml:space="preserve">Usage:</w:t>
      </w:r>
      <w:r>
        <w:rPr>
          <w:color w:val="333333"/>
          <w:sz w:val="22"/>
          <w:szCs w:val="22"/>
        </w:rPr>
        <w:t xml:space="preserve"> Product page header, brochure headline, proposal cover page, demo opening slide.</w:t>
      </w:r>
    </w:p>
    <w:p>
      <w:pPr>
        <w:pStyle w:val="Heading2"/>
      </w:pPr>
      <w:bookmarkStart w:id="9" w:name="_Toc9"/>
      <w:r>
        <w:t>5. 30-SECOND PITCH</w:t>
      </w:r>
      <w:bookmarkEnd w:id="9"/>
    </w:p>
    <w:p>
      <w:pPr>
        <w:pStyle w:val="Normal"/>
      </w:pPr>
      <w:r>
        <w:rPr>
          <w:color w:val="333333"/>
          <w:sz w:val="22"/>
          <w:szCs w:val="22"/>
        </w:rPr>
        <w:t xml:space="preserve">[READY TO USE — Memorise and deliver naturally]</w:t>
      </w:r>
    </w:p>
    <w:p>
      <w:pPr>
        <w:pStyle w:val="Quote"/>
      </w:pPr>
      <w:r>
        <w:rPr>
          <w:color w:val="555555"/>
          <w:sz w:val="22"/>
          <w:szCs w:val="22"/>
          <w:i w:val="1"/>
          <w:iCs w:val="1"/>
        </w:rPr>
        <w:t xml:space="preserve">"Boards in Kenya spend enormous time on manual governance processes — printing papers, chasing approvals, tracking resolutions, and worrying about compliance. E-Board eliminates all of that. It is a complete digital platform that manages the entire board meeting lifecycle, from the first notice through to signed minutes and tracked resolutions. It is fully compliant with Mwongozo, deploys in your organisation's branding within days, and includes built-in audit trails, digital signatures, and conflict of interest management. We are already working with institutions like KUTRRH, and we would welcome the opportunity to show you how E-Board would work for your board."</w:t>
      </w:r>
    </w:p>
    <w:p>
      <w:pPr>
        <w:pStyle w:val="Normal"/>
      </w:pPr>
      <w:r>
        <w:rPr>
          <w:color w:val="2C3E50"/>
          <w:sz w:val="22"/>
          <w:szCs w:val="22"/>
          <w:b w:val="1"/>
          <w:bCs w:val="1"/>
        </w:rPr>
        <w:t xml:space="preserve">Word count:</w:t>
      </w:r>
      <w:r>
        <w:rPr>
          <w:color w:val="333333"/>
          <w:sz w:val="22"/>
          <w:szCs w:val="22"/>
        </w:rPr>
        <w:t xml:space="preserve">Word count:</w:t>
      </w:r>
      <w:r>
        <w:rPr>
          <w:color w:val="333333"/>
          <w:sz w:val="22"/>
          <w:szCs w:val="22"/>
        </w:rPr>
        <w:t xml:space="preserve"> ~100 words</w:t>
      </w:r>
    </w:p>
    <w:p>
      <w:pPr>
        <w:pStyle w:val="Normal"/>
      </w:pPr>
      <w:r>
        <w:rPr>
          <w:color w:val="2C3E50"/>
          <w:sz w:val="22"/>
          <w:szCs w:val="22"/>
          <w:b w:val="1"/>
          <w:bCs w:val="1"/>
        </w:rPr>
        <w:t xml:space="preserve">Delivery time:</w:t>
      </w:r>
      <w:r>
        <w:rPr>
          <w:color w:val="333333"/>
          <w:sz w:val="22"/>
          <w:szCs w:val="22"/>
        </w:rPr>
        <w:t xml:space="preserve">Delivery time:</w:t>
      </w:r>
      <w:r>
        <w:rPr>
          <w:color w:val="333333"/>
          <w:sz w:val="22"/>
          <w:szCs w:val="22"/>
        </w:rPr>
        <w:t xml:space="preserve"> 25-30 seconds at natural pace</w:t>
      </w:r>
    </w:p>
    <w:p>
      <w:pPr>
        <w:pStyle w:val="Heading2"/>
      </w:pPr>
      <w:bookmarkStart w:id="10" w:name="_Toc10"/>
      <w:r>
        <w:t>6. 60-SECOND PITCH</w:t>
      </w:r>
      <w:bookmarkEnd w:id="10"/>
    </w:p>
    <w:p>
      <w:pPr>
        <w:pStyle w:val="Normal"/>
      </w:pPr>
      <w:r>
        <w:rPr>
          <w:color w:val="333333"/>
          <w:sz w:val="22"/>
          <w:szCs w:val="22"/>
        </w:rPr>
        <w:t xml:space="preserve">[READY TO USE — Memorise and deliver naturally]</w:t>
      </w:r>
    </w:p>
    <w:p>
      <w:pPr>
        <w:pStyle w:val="Quote"/>
      </w:pPr>
      <w:r>
        <w:rPr>
          <w:color w:val="555555"/>
          <w:sz w:val="22"/>
          <w:szCs w:val="22"/>
          <w:i w:val="1"/>
          <w:iCs w:val="1"/>
        </w:rPr>
        <w:t xml:space="preserve">"Every board in Kenya faces the same challenge: governance processes are manual, paper-heavy, and difficult to audit. Corporation Secretaries spend weeks preparing for each meeting — printing board papers, arranging couriers, collecting signatures, and compiling minutes by hand. When auditors come, there is often no clear trail of who saw what, when, and what decisions were made.</w:t>
      </w:r>
    </w:p>
    <w:p>
      <w:pPr>
        <w:pStyle w:val="Quote"/>
      </w:pPr>
    </w:p>
    <w:p>
      <w:pPr>
        <w:pStyle w:val="Quote"/>
      </w:pPr>
      <w:r>
        <w:rPr>
          <w:color w:val="555555"/>
          <w:sz w:val="22"/>
          <w:szCs w:val="22"/>
          <w:i w:val="1"/>
          <w:iCs w:val="1"/>
        </w:rPr>
        <w:t xml:space="preserve">E-Board solves this comprehensively. It is a complete digital board governance platform that manages every stage of the meeting lifecycle — from the annual almanac, through CEO-approved notices and multi-stage paper review, to the live meeting with digital attendance, conflict of interest declarations verified by OTP, and signed minutes.</w:t>
      </w:r>
    </w:p>
    <w:p>
      <w:pPr>
        <w:pStyle w:val="Quote"/>
      </w:pPr>
    </w:p>
    <w:p>
      <w:pPr>
        <w:pStyle w:val="Quote"/>
      </w:pPr>
      <w:r>
        <w:rPr>
          <w:color w:val="555555"/>
          <w:sz w:val="22"/>
          <w:szCs w:val="22"/>
          <w:i w:val="1"/>
          <w:iCs w:val="1"/>
        </w:rPr>
        <w:t xml:space="preserve">What makes E-Board different is that it was built specifically for how boards in Africa operate. It follows Mwongozo guidelines. It runs on the July-to-June financial year. It supports the Corporation Secretary's role as the backbone of board administration. And it deploys in your organisation's own branding, so your board members see your institution's identity, not ours.</w:t>
      </w:r>
    </w:p>
    <w:p>
      <w:pPr>
        <w:pStyle w:val="Quote"/>
      </w:pPr>
    </w:p>
    <w:p>
      <w:pPr>
        <w:pStyle w:val="Quote"/>
      </w:pPr>
      <w:r>
        <w:rPr>
          <w:color w:val="555555"/>
          <w:sz w:val="22"/>
          <w:szCs w:val="22"/>
          <w:i w:val="1"/>
          <w:iCs w:val="1"/>
        </w:rPr>
        <w:t xml:space="preserve">We offer a no-cost pilot so you can experience it with your own board. May I schedule a 30-minute demonstration to show you how it would work for [organisation name]?"</w:t>
      </w:r>
    </w:p>
    <w:p>
      <w:pPr>
        <w:pStyle w:val="Normal"/>
      </w:pPr>
      <w:r>
        <w:rPr>
          <w:color w:val="2C3E50"/>
          <w:sz w:val="22"/>
          <w:szCs w:val="22"/>
          <w:b w:val="1"/>
          <w:bCs w:val="1"/>
        </w:rPr>
        <w:t xml:space="preserve">Word count:</w:t>
      </w:r>
      <w:r>
        <w:rPr>
          <w:color w:val="333333"/>
          <w:sz w:val="22"/>
          <w:szCs w:val="22"/>
        </w:rPr>
        <w:t xml:space="preserve">Word count:</w:t>
      </w:r>
      <w:r>
        <w:rPr>
          <w:color w:val="333333"/>
          <w:sz w:val="22"/>
          <w:szCs w:val="22"/>
        </w:rPr>
        <w:t xml:space="preserve"> ~200 words</w:t>
      </w:r>
    </w:p>
    <w:p>
      <w:pPr>
        <w:pStyle w:val="Normal"/>
      </w:pPr>
      <w:r>
        <w:rPr>
          <w:color w:val="2C3E50"/>
          <w:sz w:val="22"/>
          <w:szCs w:val="22"/>
          <w:b w:val="1"/>
          <w:bCs w:val="1"/>
        </w:rPr>
        <w:t xml:space="preserve">Delivery time:</w:t>
      </w:r>
      <w:r>
        <w:rPr>
          <w:color w:val="333333"/>
          <w:sz w:val="22"/>
          <w:szCs w:val="22"/>
        </w:rPr>
        <w:t xml:space="preserve">Delivery time:</w:t>
      </w:r>
      <w:r>
        <w:rPr>
          <w:color w:val="333333"/>
          <w:sz w:val="22"/>
          <w:szCs w:val="22"/>
        </w:rPr>
        <w:t xml:space="preserve"> 55-65 seconds at natural pace</w:t>
      </w:r>
    </w:p>
    <w:p>
      <w:pPr>
        <w:pStyle w:val="Heading2"/>
      </w:pPr>
      <w:bookmarkStart w:id="11" w:name="_Toc11"/>
      <w:r>
        <w:t>7. RECOMMENDED CALL TO ACTION (CTA)</w:t>
      </w:r>
      <w:bookmarkEnd w:id="11"/>
    </w:p>
    <w:p>
      <w:pPr>
        <w:pStyle w:val="Heading3"/>
      </w:pPr>
      <w:bookmarkStart w:id="12" w:name="_Toc12"/>
      <w:r>
        <w:t>Primary CTA (for all sales interactions)</w:t>
      </w:r>
      <w:bookmarkEnd w:id="12"/>
    </w:p>
    <w:p>
      <w:pPr>
        <w:pStyle w:val="Quote"/>
      </w:pPr>
      <w:r>
        <w:rPr>
          <w:color w:val="2C3E50"/>
          <w:sz w:val="22"/>
          <w:szCs w:val="22"/>
          <w:b w:val="1"/>
          <w:bCs w:val="1"/>
          <w:i w:val="1"/>
          <w:iCs w:val="1"/>
        </w:rPr>
        <w:t xml:space="preserve">"Let us schedule a 30-minute demonstration tailored to your board's structure."</w:t>
      </w:r>
      <w:r>
        <w:rPr>
          <w:color w:val="555555"/>
          <w:sz w:val="22"/>
          <w:szCs w:val="22"/>
          <w:i w:val="1"/>
          <w:iCs w:val="1"/>
        </w:rPr>
        <w:t xml:space="preserve">"Let us schedule a 30-minute demonstration tailored to your board's structure."</w:t>
      </w:r>
    </w:p>
    <w:p>
      <w:pPr>
        <w:pStyle w:val="Normal"/>
      </w:pPr>
      <w:r>
        <w:rPr>
          <w:color w:val="2C3E50"/>
          <w:sz w:val="22"/>
          <w:szCs w:val="22"/>
          <w:b w:val="1"/>
          <w:bCs w:val="1"/>
        </w:rPr>
        <w:t xml:space="preserve">Why this works:</w:t>
      </w:r>
      <w:r>
        <w:rPr>
          <w:color w:val="333333"/>
          <w:sz w:val="22"/>
          <w:szCs w:val="22"/>
        </w:rPr>
        <w:t xml:space="preserve">Why this works:</w:t>
      </w:r>
    </w:p>
    <w:p>
      <w:pPr>
        <w:pStyle w:val="ListBullet"/>
        <w:numPr>
          <w:ilvl w:val="0"/>
          <w:numId w:val="8"/>
        </w:numPr>
      </w:pPr>
      <w:r>
        <w:rPr>
          <w:color w:val="333333"/>
          <w:sz w:val="22"/>
          <w:szCs w:val="22"/>
        </w:rPr>
        <w:t xml:space="preserve">Low commitment (30 minutes, not a full day)</w:t>
      </w:r>
    </w:p>
    <w:p>
      <w:pPr>
        <w:pStyle w:val="ListBullet"/>
        <w:numPr>
          <w:ilvl w:val="0"/>
          <w:numId w:val="8"/>
        </w:numPr>
      </w:pPr>
      <w:r>
        <w:rPr>
          <w:color w:val="333333"/>
          <w:sz w:val="22"/>
          <w:szCs w:val="22"/>
        </w:rPr>
        <w:t xml:space="preserve">"Tailored to your board" signals customisation, not a generic pitch</w:t>
      </w:r>
    </w:p>
    <w:p>
      <w:pPr>
        <w:pStyle w:val="ListBullet"/>
        <w:numPr>
          <w:ilvl w:val="0"/>
          <w:numId w:val="8"/>
        </w:numPr>
      </w:pPr>
      <w:r>
        <w:rPr>
          <w:color w:val="333333"/>
          <w:sz w:val="22"/>
          <w:szCs w:val="22"/>
        </w:rPr>
        <w:t xml:space="preserve">"Schedule" creates urgency and moves toward a concrete next step</w:t>
      </w:r>
    </w:p>
    <w:p>
      <w:pPr>
        <w:pStyle w:val="ListBullet"/>
        <w:numPr>
          <w:ilvl w:val="0"/>
          <w:numId w:val="8"/>
        </w:numPr>
      </w:pPr>
      <w:r>
        <w:rPr>
          <w:color w:val="333333"/>
          <w:sz w:val="22"/>
          <w:szCs w:val="22"/>
        </w:rPr>
        <w:t xml:space="preserve">Avoids asking for budget or procurement commitment prematurely</w:t>
      </w:r>
    </w:p>
    <w:p>
      <w:pPr>
        <w:pStyle w:val="Heading3"/>
      </w:pPr>
      <w:bookmarkStart w:id="13" w:name="_Toc13"/>
      <w:r>
        <w:t>Secondary CTAs (by context)</w:t>
      </w:r>
      <w:bookmarkEnd w:id="13"/>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Context</w:t>
            </w:r>
          </w:p>
        </w:tc>
        <w:tc>
          <w:tcPr>
            <w:vAlign w:val="top"/>
            <w:shd w:val="clear" w:fill="1B4F72"/>
          </w:tcPr>
          <w:p>
            <w:pPr>
              <w:spacing w:after="20"/>
            </w:pPr>
            <w:r>
              <w:rPr>
                <w:color w:val="FFFFFF"/>
                <w:sz w:val="18"/>
                <w:szCs w:val="18"/>
                <w:b w:val="1"/>
                <w:bCs w:val="1"/>
              </w:rPr>
              <w:t xml:space="preserve">CTA</w:t>
            </w:r>
          </w:p>
        </w:tc>
      </w:tr>
      <w:tr>
        <w:trPr/>
        <w:tc>
          <w:tcPr>
            <w:vAlign w:val="top"/>
          </w:tcPr>
          <w:p>
            <w:pPr>
              <w:spacing w:after="20"/>
            </w:pPr>
            <w:r>
              <w:rPr>
                <w:color w:val="333333"/>
                <w:sz w:val="18"/>
                <w:szCs w:val="18"/>
              </w:rPr>
              <w:t xml:space="preserve">After demo</w:t>
            </w:r>
          </w:p>
        </w:tc>
        <w:tc>
          <w:tcPr>
            <w:vAlign w:val="top"/>
          </w:tcPr>
          <w:p>
            <w:pPr>
              <w:spacing w:after="20"/>
            </w:pPr>
            <w:r>
              <w:rPr>
                <w:color w:val="333333"/>
                <w:sz w:val="18"/>
                <w:szCs w:val="18"/>
              </w:rPr>
              <w:t xml:space="preserve">"We would like to offer your board a no-cost pilot to experience E-Board with your actual governance processes."</w:t>
            </w:r>
          </w:p>
        </w:tc>
      </w:tr>
      <w:tr>
        <w:trPr/>
        <w:tc>
          <w:tcPr>
            <w:vAlign w:val="top"/>
            <w:shd w:val="clear" w:fill="F8F9FA"/>
          </w:tcPr>
          <w:p>
            <w:pPr>
              <w:spacing w:after="20"/>
            </w:pPr>
            <w:r>
              <w:rPr>
                <w:color w:val="333333"/>
                <w:sz w:val="18"/>
                <w:szCs w:val="18"/>
              </w:rPr>
              <w:t xml:space="preserve">At networking events</w:t>
            </w:r>
          </w:p>
        </w:tc>
        <w:tc>
          <w:tcPr>
            <w:vAlign w:val="top"/>
            <w:shd w:val="clear" w:fill="F8F9FA"/>
          </w:tcPr>
          <w:p>
            <w:pPr>
              <w:spacing w:after="20"/>
            </w:pPr>
            <w:r>
              <w:rPr>
                <w:color w:val="333333"/>
                <w:sz w:val="18"/>
                <w:szCs w:val="18"/>
              </w:rPr>
              <w:t xml:space="preserve">"I would be happy to send you a brief overview and arrange a demonstration at your convenience."</w:t>
            </w:r>
          </w:p>
        </w:tc>
      </w:tr>
      <w:tr>
        <w:trPr/>
        <w:tc>
          <w:tcPr>
            <w:vAlign w:val="top"/>
          </w:tcPr>
          <w:p>
            <w:pPr>
              <w:spacing w:after="20"/>
            </w:pPr>
            <w:r>
              <w:rPr>
                <w:color w:val="333333"/>
                <w:sz w:val="18"/>
                <w:szCs w:val="18"/>
              </w:rPr>
              <w:t xml:space="preserve">LinkedIn messages</w:t>
            </w:r>
          </w:p>
        </w:tc>
        <w:tc>
          <w:tcPr>
            <w:vAlign w:val="top"/>
          </w:tcPr>
          <w:p>
            <w:pPr>
              <w:spacing w:after="20"/>
            </w:pPr>
            <w:r>
              <w:rPr>
                <w:color w:val="333333"/>
                <w:sz w:val="18"/>
                <w:szCs w:val="18"/>
              </w:rPr>
              <w:t xml:space="preserve">"Would a 15-minute call to discuss how institutions like yours are digitising board governance be of interest?"</w:t>
            </w:r>
          </w:p>
        </w:tc>
      </w:tr>
      <w:tr>
        <w:trPr/>
        <w:tc>
          <w:tcPr>
            <w:vAlign w:val="top"/>
            <w:shd w:val="clear" w:fill="F8F9FA"/>
          </w:tcPr>
          <w:p>
            <w:pPr>
              <w:spacing w:after="20"/>
            </w:pPr>
            <w:r>
              <w:rPr>
                <w:color w:val="333333"/>
                <w:sz w:val="18"/>
                <w:szCs w:val="18"/>
              </w:rPr>
              <w:t xml:space="preserve">Follow-up emails</w:t>
            </w:r>
          </w:p>
        </w:tc>
        <w:tc>
          <w:tcPr>
            <w:vAlign w:val="top"/>
            <w:shd w:val="clear" w:fill="F8F9FA"/>
          </w:tcPr>
          <w:p>
            <w:pPr>
              <w:spacing w:after="20"/>
            </w:pPr>
            <w:r>
              <w:rPr>
                <w:color w:val="333333"/>
                <w:sz w:val="18"/>
                <w:szCs w:val="18"/>
              </w:rPr>
              <w:t xml:space="preserve">"When would be a convenient time this week to continue our conversation?"</w:t>
            </w:r>
          </w:p>
        </w:tc>
      </w:tr>
      <w:tr>
        <w:trPr/>
        <w:tc>
          <w:tcPr>
            <w:vAlign w:val="top"/>
          </w:tcPr>
          <w:p>
            <w:pPr>
              <w:spacing w:after="20"/>
            </w:pPr>
            <w:r>
              <w:rPr>
                <w:color w:val="333333"/>
                <w:sz w:val="18"/>
                <w:szCs w:val="18"/>
              </w:rPr>
              <w:t xml:space="preserve">Post-pilot</w:t>
            </w:r>
          </w:p>
        </w:tc>
        <w:tc>
          <w:tcPr>
            <w:vAlign w:val="top"/>
          </w:tcPr>
          <w:p>
            <w:pPr>
              <w:spacing w:after="20"/>
            </w:pPr>
            <w:r>
              <w:rPr>
                <w:color w:val="333333"/>
                <w:sz w:val="18"/>
                <w:szCs w:val="18"/>
              </w:rPr>
              <w:t xml:space="preserve">"Based on the pilot results, shall we prepare a formal proposal for your consideration?"</w:t>
            </w:r>
          </w:p>
        </w:tc>
      </w:tr>
    </w:tbl>
    <w:p>
      <w:pPr>
        <w:pStyle w:val="Heading2"/>
      </w:pPr>
      <w:bookmarkStart w:id="14" w:name="_Toc14"/>
      <w:r>
        <w:t>8. RECOMMENDED SALES STRATEGY</w:t>
      </w:r>
      <w:bookmarkEnd w:id="14"/>
    </w:p>
    <w:p>
      <w:pPr>
        <w:pStyle w:val="Heading3"/>
      </w:pPr>
      <w:bookmarkStart w:id="15" w:name="_Toc15"/>
      <w:r>
        <w:t>Strategy: Pilot-Led Institutional Sales</w:t>
      </w:r>
      <w:bookmarkEnd w:id="15"/>
    </w:p>
    <w:p>
      <w:pPr>
        <w:pStyle w:val="Normal"/>
      </w:pPr>
      <w:r>
        <w:rPr>
          <w:color w:val="333333"/>
          <w:sz w:val="22"/>
          <w:szCs w:val="22"/>
        </w:rPr>
        <w:t xml:space="preserve">Losvinca should adopt a </w:t>
      </w:r>
      <w:r>
        <w:rPr>
          <w:color w:val="2C3E50"/>
          <w:sz w:val="22"/>
          <w:szCs w:val="22"/>
          <w:b w:val="1"/>
          <w:bCs w:val="1"/>
        </w:rPr>
        <w:t xml:space="preserve">pilot-led sales strategy</w:t>
      </w:r>
      <w:r>
        <w:rPr>
          <w:color w:val="333333"/>
          <w:sz w:val="22"/>
          <w:szCs w:val="22"/>
        </w:rPr>
        <w:t xml:space="preserve">pilot-led sales strategy</w:t>
      </w:r>
      <w:r>
        <w:rPr>
          <w:color w:val="333333"/>
          <w:sz w:val="22"/>
          <w:szCs w:val="22"/>
        </w:rPr>
        <w:t xml:space="preserve"> as its primary go-to-market approach. This means every sales engagement is oriented toward getting E-Board into the organisation's hands through a structured pilot, rather than selling on presentations and promises alone.</w:t>
      </w:r>
    </w:p>
    <w:p>
      <w:pPr>
        <w:pStyle w:val="Normal"/>
      </w:pPr>
      <w:r>
        <w:rPr>
          <w:color w:val="2C3E50"/>
          <w:sz w:val="22"/>
          <w:szCs w:val="22"/>
          <w:b w:val="1"/>
          <w:bCs w:val="1"/>
        </w:rPr>
        <w:t xml:space="preserve">Strategy components:</w:t>
      </w:r>
      <w:r>
        <w:rPr>
          <w:color w:val="333333"/>
          <w:sz w:val="22"/>
          <w:szCs w:val="22"/>
        </w:rPr>
        <w:t xml:space="preserve">Strategy components:</w:t>
      </w:r>
    </w:p>
    <w:p>
      <w:pPr>
        <w:pStyle w:val="Heading3"/>
      </w:pPr>
      <w:bookmarkStart w:id="16" w:name="_Toc16"/>
      <w:r>
        <w:t>8.1 Lead with Relationships, Not Technology</w:t>
      </w:r>
      <w:bookmarkEnd w:id="16"/>
    </w:p>
    <w:p>
      <w:pPr>
        <w:pStyle w:val="Normal"/>
      </w:pPr>
      <w:r>
        <w:rPr>
          <w:color w:val="333333"/>
          <w:sz w:val="22"/>
          <w:szCs w:val="22"/>
        </w:rPr>
        <w:t xml:space="preserve">In the Kenyan institutional market, purchasing decisions are relationship-driven. Cold technology pitches rarely work. Every engagement should begin with a genuine conversation about the prospect's governance challenges, not a product demonstration.</w:t>
      </w:r>
    </w:p>
    <w:p>
      <w:pPr>
        <w:pStyle w:val="Normal"/>
      </w:pPr>
      <w:r>
        <w:rPr>
          <w:color w:val="2C3E50"/>
          <w:sz w:val="22"/>
          <w:szCs w:val="22"/>
          <w:b w:val="1"/>
          <w:bCs w:val="1"/>
        </w:rPr>
        <w:t xml:space="preserve">Tactical approach:</w:t>
      </w:r>
      <w:r>
        <w:rPr>
          <w:color w:val="333333"/>
          <w:sz w:val="22"/>
          <w:szCs w:val="22"/>
        </w:rPr>
        <w:t xml:space="preserve">Tactical approach:</w:t>
      </w:r>
    </w:p>
    <w:p>
      <w:pPr>
        <w:pStyle w:val="ListBullet"/>
        <w:numPr>
          <w:ilvl w:val="0"/>
          <w:numId w:val="8"/>
        </w:numPr>
      </w:pPr>
      <w:r>
        <w:rPr>
          <w:color w:val="333333"/>
          <w:sz w:val="22"/>
          <w:szCs w:val="22"/>
        </w:rPr>
        <w:t xml:space="preserve">Target Corporation Secretaries as primary entry points (they own the governance problem)</w:t>
      </w:r>
    </w:p>
    <w:p>
      <w:pPr>
        <w:pStyle w:val="ListBullet"/>
        <w:numPr>
          <w:ilvl w:val="0"/>
          <w:numId w:val="8"/>
        </w:numPr>
      </w:pPr>
      <w:r>
        <w:rPr>
          <w:color w:val="333333"/>
          <w:sz w:val="22"/>
          <w:szCs w:val="22"/>
        </w:rPr>
        <w:t xml:space="preserve">Build relationships at ICPSK events, IoD-K forums, and governance conferences</w:t>
      </w:r>
    </w:p>
    <w:p>
      <w:pPr>
        <w:pStyle w:val="ListBullet"/>
        <w:numPr>
          <w:ilvl w:val="0"/>
          <w:numId w:val="8"/>
        </w:numPr>
      </w:pPr>
      <w:r>
        <w:rPr>
          <w:color w:val="333333"/>
          <w:sz w:val="22"/>
          <w:szCs w:val="22"/>
        </w:rPr>
        <w:t xml:space="preserve">Offer value before asking for anything: share governance insights, Mwongozo updates, best practices</w:t>
      </w:r>
    </w:p>
    <w:p>
      <w:pPr>
        <w:pStyle w:val="ListBullet"/>
        <w:numPr>
          <w:ilvl w:val="0"/>
          <w:numId w:val="8"/>
        </w:numPr>
      </w:pPr>
      <w:r>
        <w:rPr>
          <w:color w:val="333333"/>
          <w:sz w:val="22"/>
          <w:szCs w:val="22"/>
        </w:rPr>
        <w:t xml:space="preserve">Position Losvinca as a governance partner, not a software vendor</w:t>
      </w:r>
    </w:p>
    <w:p>
      <w:pPr>
        <w:pStyle w:val="Heading3"/>
      </w:pPr>
      <w:bookmarkStart w:id="17" w:name="_Toc17"/>
      <w:r>
        <w:t>8.2 Demonstrate, Don't Describe</w:t>
      </w:r>
      <w:bookmarkEnd w:id="17"/>
    </w:p>
    <w:p>
      <w:pPr>
        <w:pStyle w:val="Normal"/>
      </w:pPr>
      <w:r>
        <w:rPr>
          <w:color w:val="333333"/>
          <w:sz w:val="22"/>
          <w:szCs w:val="22"/>
        </w:rPr>
        <w:t xml:space="preserve">Institutional buyers need to see and touch the solution. Abstract feature lists do not close deals. Every qualified prospect should experience a tailored demo within 2 weeks of first meaningful contact.</w:t>
      </w:r>
    </w:p>
    <w:p>
      <w:pPr>
        <w:pStyle w:val="Normal"/>
      </w:pPr>
      <w:r>
        <w:rPr>
          <w:color w:val="2C3E50"/>
          <w:sz w:val="22"/>
          <w:szCs w:val="22"/>
          <w:b w:val="1"/>
          <w:bCs w:val="1"/>
        </w:rPr>
        <w:t xml:space="preserve">Tactical approach:</w:t>
      </w:r>
      <w:r>
        <w:rPr>
          <w:color w:val="333333"/>
          <w:sz w:val="22"/>
          <w:szCs w:val="22"/>
        </w:rPr>
        <w:t xml:space="preserve">Tactical approach:</w:t>
      </w:r>
    </w:p>
    <w:p>
      <w:pPr>
        <w:pStyle w:val="ListBullet"/>
        <w:numPr>
          <w:ilvl w:val="0"/>
          <w:numId w:val="8"/>
        </w:numPr>
      </w:pPr>
      <w:r>
        <w:rPr>
          <w:color w:val="333333"/>
          <w:sz w:val="22"/>
          <w:szCs w:val="22"/>
        </w:rPr>
        <w:t xml:space="preserve">Customise every demo with the prospect's logo, colours, and board structure</w:t>
      </w:r>
    </w:p>
    <w:p>
      <w:pPr>
        <w:pStyle w:val="ListBullet"/>
        <w:numPr>
          <w:ilvl w:val="0"/>
          <w:numId w:val="8"/>
        </w:numPr>
      </w:pPr>
      <w:r>
        <w:rPr>
          <w:color w:val="333333"/>
          <w:sz w:val="22"/>
          <w:szCs w:val="22"/>
        </w:rPr>
        <w:t xml:space="preserve">Walk through a complete meeting lifecycle relevant to their context</w:t>
      </w:r>
    </w:p>
    <w:p>
      <w:pPr>
        <w:pStyle w:val="ListBullet"/>
        <w:numPr>
          <w:ilvl w:val="0"/>
          <w:numId w:val="8"/>
        </w:numPr>
      </w:pPr>
      <w:r>
        <w:rPr>
          <w:color w:val="333333"/>
          <w:sz w:val="22"/>
          <w:szCs w:val="22"/>
        </w:rPr>
        <w:t xml:space="preserve">Show, do not tell: demonstrate audit trail, digital signatures, conflict of interest workflow</w:t>
      </w:r>
    </w:p>
    <w:p>
      <w:pPr>
        <w:pStyle w:val="ListBullet"/>
        <w:numPr>
          <w:ilvl w:val="0"/>
          <w:numId w:val="8"/>
        </w:numPr>
      </w:pPr>
      <w:r>
        <w:rPr>
          <w:color w:val="333333"/>
          <w:sz w:val="22"/>
          <w:szCs w:val="22"/>
        </w:rPr>
        <w:t xml:space="preserve">Always end a demo with an invitation to pilot</w:t>
      </w:r>
    </w:p>
    <w:p>
      <w:pPr>
        <w:pStyle w:val="Heading3"/>
      </w:pPr>
      <w:bookmarkStart w:id="18" w:name="_Toc18"/>
      <w:r>
        <w:t>8.3 Convert Through Pilots</w:t>
      </w:r>
      <w:bookmarkEnd w:id="18"/>
    </w:p>
    <w:p>
      <w:pPr>
        <w:pStyle w:val="Normal"/>
      </w:pPr>
      <w:r>
        <w:rPr>
          <w:color w:val="333333"/>
          <w:sz w:val="22"/>
          <w:szCs w:val="22"/>
        </w:rPr>
        <w:t xml:space="preserve">The pilot is the single most important conversion tool. Once a Corporation Secretary runs a real board meeting on E-Board, the switching cost of going back to manual processes becomes apparent.</w:t>
      </w:r>
    </w:p>
    <w:p>
      <w:pPr>
        <w:pStyle w:val="Normal"/>
      </w:pPr>
      <w:r>
        <w:rPr>
          <w:color w:val="2C3E50"/>
          <w:sz w:val="22"/>
          <w:szCs w:val="22"/>
          <w:b w:val="1"/>
          <w:bCs w:val="1"/>
        </w:rPr>
        <w:t xml:space="preserve">Tactical approach:</w:t>
      </w:r>
      <w:r>
        <w:rPr>
          <w:color w:val="333333"/>
          <w:sz w:val="22"/>
          <w:szCs w:val="22"/>
        </w:rPr>
        <w:t xml:space="preserve">Tactical approach:</w:t>
      </w:r>
    </w:p>
    <w:p>
      <w:pPr>
        <w:pStyle w:val="ListBullet"/>
        <w:numPr>
          <w:ilvl w:val="0"/>
          <w:numId w:val="8"/>
        </w:numPr>
      </w:pPr>
      <w:r>
        <w:rPr>
          <w:color w:val="333333"/>
          <w:sz w:val="22"/>
          <w:szCs w:val="22"/>
        </w:rPr>
        <w:t xml:space="preserve">Offer 30-60 day no-cost pilots for qualified prospects</w:t>
      </w:r>
    </w:p>
    <w:p>
      <w:pPr>
        <w:pStyle w:val="ListBullet"/>
        <w:numPr>
          <w:ilvl w:val="0"/>
          <w:numId w:val="8"/>
        </w:numPr>
      </w:pPr>
      <w:r>
        <w:rPr>
          <w:color w:val="333333"/>
          <w:sz w:val="22"/>
          <w:szCs w:val="22"/>
        </w:rPr>
        <w:t xml:space="preserve">Define pilot scope clearly: 1-2 committees, 2-3 meetings</w:t>
      </w:r>
    </w:p>
    <w:p>
      <w:pPr>
        <w:pStyle w:val="ListBullet"/>
        <w:numPr>
          <w:ilvl w:val="0"/>
          <w:numId w:val="8"/>
        </w:numPr>
      </w:pPr>
      <w:r>
        <w:rPr>
          <w:color w:val="333333"/>
          <w:sz w:val="22"/>
          <w:szCs w:val="22"/>
        </w:rPr>
        <w:t xml:space="preserve">Provide hands-on support during pilot (do not leave them alone with the system)</w:t>
      </w:r>
    </w:p>
    <w:p>
      <w:pPr>
        <w:pStyle w:val="ListBullet"/>
        <w:numPr>
          <w:ilvl w:val="0"/>
          <w:numId w:val="8"/>
        </w:numPr>
      </w:pPr>
      <w:r>
        <w:rPr>
          <w:color w:val="333333"/>
          <w:sz w:val="22"/>
          <w:szCs w:val="22"/>
        </w:rPr>
        <w:t xml:space="preserve">Ensure at least one complete meeting cycle is completed</w:t>
      </w:r>
    </w:p>
    <w:p>
      <w:pPr>
        <w:pStyle w:val="ListBullet"/>
        <w:numPr>
          <w:ilvl w:val="0"/>
          <w:numId w:val="8"/>
        </w:numPr>
      </w:pPr>
      <w:r>
        <w:rPr>
          <w:color w:val="333333"/>
          <w:sz w:val="22"/>
          <w:szCs w:val="22"/>
        </w:rPr>
        <w:t xml:space="preserve">Document pilot results and present to decision-makers</w:t>
      </w:r>
    </w:p>
    <w:p>
      <w:pPr>
        <w:pStyle w:val="Heading3"/>
      </w:pPr>
      <w:bookmarkStart w:id="19" w:name="_Toc19"/>
      <w:r>
        <w:t>8.4 Build the Reference Network</w:t>
      </w:r>
      <w:bookmarkEnd w:id="19"/>
    </w:p>
    <w:p>
      <w:pPr>
        <w:pStyle w:val="Normal"/>
      </w:pPr>
      <w:r>
        <w:rPr>
          <w:color w:val="333333"/>
          <w:sz w:val="22"/>
          <w:szCs w:val="22"/>
        </w:rPr>
        <w:t xml:space="preserve">In institutional markets, references close deals. Every satisfied customer should be converted into a reference and, ideally, an advocate.</w:t>
      </w:r>
    </w:p>
    <w:p>
      <w:pPr>
        <w:pStyle w:val="Normal"/>
      </w:pPr>
      <w:r>
        <w:rPr>
          <w:color w:val="2C3E50"/>
          <w:sz w:val="22"/>
          <w:szCs w:val="22"/>
          <w:b w:val="1"/>
          <w:bCs w:val="1"/>
        </w:rPr>
        <w:t xml:space="preserve">Tactical approach:</w:t>
      </w:r>
      <w:r>
        <w:rPr>
          <w:color w:val="333333"/>
          <w:sz w:val="22"/>
          <w:szCs w:val="22"/>
        </w:rPr>
        <w:t xml:space="preserve">Tactical approach:</w:t>
      </w:r>
    </w:p>
    <w:p>
      <w:pPr>
        <w:pStyle w:val="ListBullet"/>
        <w:numPr>
          <w:ilvl w:val="0"/>
          <w:numId w:val="8"/>
        </w:numPr>
      </w:pPr>
      <w:r>
        <w:rPr>
          <w:color w:val="333333"/>
          <w:sz w:val="22"/>
          <w:szCs w:val="22"/>
        </w:rPr>
        <w:t xml:space="preserve">Ask for testimonials and references at every successful touchpoint</w:t>
      </w:r>
    </w:p>
    <w:p>
      <w:pPr>
        <w:pStyle w:val="ListBullet"/>
        <w:numPr>
          <w:ilvl w:val="0"/>
          <w:numId w:val="8"/>
        </w:numPr>
      </w:pPr>
      <w:r>
        <w:rPr>
          <w:color w:val="333333"/>
          <w:sz w:val="22"/>
          <w:szCs w:val="22"/>
        </w:rPr>
        <w:t xml:space="preserve">Develop case studies with customer permission</w:t>
      </w:r>
    </w:p>
    <w:p>
      <w:pPr>
        <w:pStyle w:val="ListBullet"/>
        <w:numPr>
          <w:ilvl w:val="0"/>
          <w:numId w:val="8"/>
        </w:numPr>
      </w:pPr>
      <w:r>
        <w:rPr>
          <w:color w:val="333333"/>
          <w:sz w:val="22"/>
          <w:szCs w:val="22"/>
        </w:rPr>
        <w:t xml:space="preserve">Facilitate peer-to-peer conversations (existing customer to prospect)</w:t>
      </w:r>
    </w:p>
    <w:p>
      <w:pPr>
        <w:pStyle w:val="ListBullet"/>
        <w:numPr>
          <w:ilvl w:val="0"/>
          <w:numId w:val="8"/>
        </w:numPr>
      </w:pPr>
      <w:r>
        <w:rPr>
          <w:color w:val="333333"/>
          <w:sz w:val="22"/>
          <w:szCs w:val="22"/>
        </w:rPr>
        <w:t xml:space="preserve">Invite customers to speak at webinars and events</w:t>
      </w:r>
    </w:p>
    <w:p>
      <w:pPr>
        <w:pStyle w:val="Heading3"/>
      </w:pPr>
      <w:bookmarkStart w:id="20" w:name="_Toc20"/>
      <w:r>
        <w:t>8.5 Align with Procurement Realities</w:t>
      </w:r>
      <w:bookmarkEnd w:id="20"/>
    </w:p>
    <w:p>
      <w:pPr>
        <w:pStyle w:val="Normal"/>
      </w:pPr>
      <w:r>
        <w:rPr>
          <w:color w:val="333333"/>
          <w:sz w:val="22"/>
          <w:szCs w:val="22"/>
        </w:rPr>
        <w:t xml:space="preserve">Government procurement is structured, cyclical, and slow. Fighting the system is futile; working within it is essential.</w:t>
      </w:r>
    </w:p>
    <w:p>
      <w:pPr>
        <w:pStyle w:val="Normal"/>
      </w:pPr>
      <w:r>
        <w:rPr>
          <w:color w:val="2C3E50"/>
          <w:sz w:val="22"/>
          <w:szCs w:val="22"/>
          <w:b w:val="1"/>
          <w:bCs w:val="1"/>
        </w:rPr>
        <w:t xml:space="preserve">Tactical approach:</w:t>
      </w:r>
      <w:r>
        <w:rPr>
          <w:color w:val="333333"/>
          <w:sz w:val="22"/>
          <w:szCs w:val="22"/>
        </w:rPr>
        <w:t xml:space="preserve">Tactical approach:</w:t>
      </w:r>
    </w:p>
    <w:p>
      <w:pPr>
        <w:pStyle w:val="ListBullet"/>
        <w:numPr>
          <w:ilvl w:val="0"/>
          <w:numId w:val="8"/>
        </w:numPr>
      </w:pPr>
      <w:r>
        <w:rPr>
          <w:color w:val="333333"/>
          <w:sz w:val="22"/>
          <w:szCs w:val="22"/>
        </w:rPr>
        <w:t xml:space="preserve">Understand each prospect's procurement method (direct, RFQ, tender)</w:t>
      </w:r>
    </w:p>
    <w:p>
      <w:pPr>
        <w:pStyle w:val="ListBullet"/>
        <w:numPr>
          <w:ilvl w:val="0"/>
          <w:numId w:val="8"/>
        </w:numPr>
      </w:pPr>
      <w:r>
        <w:rPr>
          <w:color w:val="333333"/>
          <w:sz w:val="22"/>
          <w:szCs w:val="22"/>
        </w:rPr>
        <w:t xml:space="preserve">Time proposals to budget cycles (preparation begins October-January for July-June FY)</w:t>
      </w:r>
    </w:p>
    <w:p>
      <w:pPr>
        <w:pStyle w:val="ListBullet"/>
        <w:numPr>
          <w:ilvl w:val="0"/>
          <w:numId w:val="8"/>
        </w:numPr>
      </w:pPr>
      <w:r>
        <w:rPr>
          <w:color w:val="333333"/>
          <w:sz w:val="22"/>
          <w:szCs w:val="22"/>
        </w:rPr>
        <w:t xml:space="preserve">Maintain all required statutory documents current</w:t>
      </w:r>
    </w:p>
    <w:p>
      <w:pPr>
        <w:pStyle w:val="ListBullet"/>
        <w:numPr>
          <w:ilvl w:val="0"/>
          <w:numId w:val="8"/>
        </w:numPr>
      </w:pPr>
      <w:r>
        <w:rPr>
          <w:color w:val="333333"/>
          <w:sz w:val="22"/>
          <w:szCs w:val="22"/>
        </w:rPr>
        <w:t xml:space="preserve">Build relationships with procurement officers, not just end users</w:t>
      </w:r>
    </w:p>
    <w:p>
      <w:pPr>
        <w:pStyle w:val="ListBullet"/>
        <w:numPr>
          <w:ilvl w:val="0"/>
          <w:numId w:val="8"/>
        </w:numPr>
      </w:pPr>
      <w:r>
        <w:rPr>
          <w:color w:val="333333"/>
          <w:sz w:val="22"/>
          <w:szCs w:val="22"/>
        </w:rPr>
        <w:t xml:space="preserve">Be patient — government deals take 4-12 months but are sticky once landed</w:t>
      </w:r>
    </w:p>
    <w:p>
      <w:pPr>
        <w:pStyle w:val="Heading2"/>
      </w:pPr>
      <w:bookmarkStart w:id="21" w:name="_Toc21"/>
      <w:r>
        <w:t>9. RECOMMENDED FIRST 3 CUSTOMER SEGMENTS TO TARGET</w:t>
      </w:r>
      <w:bookmarkEnd w:id="21"/>
    </w:p>
    <w:p>
      <w:pPr>
        <w:pStyle w:val="Heading3"/>
      </w:pPr>
      <w:bookmarkStart w:id="22" w:name="_Toc22"/>
      <w:r>
        <w:t>Segment 1: State Corporations and Parastatals (Priority: Highest)</w:t>
      </w:r>
      <w:bookmarkEnd w:id="22"/>
    </w:p>
    <w:p>
      <w:pPr>
        <w:pStyle w:val="Normal"/>
      </w:pPr>
      <w:r>
        <w:rPr>
          <w:color w:val="2C3E50"/>
          <w:sz w:val="22"/>
          <w:szCs w:val="22"/>
          <w:b w:val="1"/>
          <w:bCs w:val="1"/>
        </w:rPr>
        <w:t xml:space="preserve">Why target first:</w:t>
      </w:r>
      <w:r>
        <w:rPr>
          <w:color w:val="333333"/>
          <w:sz w:val="22"/>
          <w:szCs w:val="22"/>
        </w:rPr>
        <w:t xml:space="preserve">Why target first:</w:t>
      </w:r>
    </w:p>
    <w:p>
      <w:pPr>
        <w:pStyle w:val="ListBullet"/>
        <w:numPr>
          <w:ilvl w:val="0"/>
          <w:numId w:val="8"/>
        </w:numPr>
      </w:pPr>
      <w:r>
        <w:rPr>
          <w:color w:val="333333"/>
          <w:sz w:val="22"/>
          <w:szCs w:val="22"/>
        </w:rPr>
        <w:t xml:space="preserve">Mandated to comply with Mwongozo Code of Governance — E-Board directly addresses this compliance requirement</w:t>
      </w:r>
    </w:p>
    <w:p>
      <w:pPr>
        <w:pStyle w:val="ListBullet"/>
        <w:numPr>
          <w:ilvl w:val="0"/>
          <w:numId w:val="8"/>
        </w:numPr>
      </w:pPr>
      <w:r>
        <w:rPr>
          <w:color w:val="333333"/>
          <w:sz w:val="22"/>
          <w:szCs w:val="22"/>
        </w:rPr>
        <w:t xml:space="preserve">Have formal board structures with Corporation Secretaries, making them ideal users</w:t>
      </w:r>
    </w:p>
    <w:p>
      <w:pPr>
        <w:pStyle w:val="ListBullet"/>
        <w:numPr>
          <w:ilvl w:val="0"/>
          <w:numId w:val="8"/>
        </w:numPr>
      </w:pPr>
      <w:r>
        <w:rPr>
          <w:color w:val="333333"/>
          <w:sz w:val="22"/>
          <w:szCs w:val="22"/>
        </w:rPr>
        <w:t xml:space="preserve">Operate on the July-June financial year that E-Board is built around</w:t>
      </w:r>
    </w:p>
    <w:p>
      <w:pPr>
        <w:pStyle w:val="ListBullet"/>
        <w:numPr>
          <w:ilvl w:val="0"/>
          <w:numId w:val="8"/>
        </w:numPr>
      </w:pPr>
      <w:r>
        <w:rPr>
          <w:color w:val="333333"/>
          <w:sz w:val="22"/>
          <w:szCs w:val="22"/>
        </w:rPr>
        <w:t xml:space="preserve">Face regular governance audits by the Auditor General — audit trail is a critical need</w:t>
      </w:r>
    </w:p>
    <w:p>
      <w:pPr>
        <w:pStyle w:val="ListBullet"/>
        <w:numPr>
          <w:ilvl w:val="0"/>
          <w:numId w:val="8"/>
        </w:numPr>
      </w:pPr>
      <w:r>
        <w:rPr>
          <w:color w:val="333333"/>
          <w:sz w:val="22"/>
          <w:szCs w:val="22"/>
        </w:rPr>
        <w:t xml:space="preserve">Budget for ICT solutions exists in most state corporations</w:t>
      </w:r>
    </w:p>
    <w:p>
      <w:pPr>
        <w:pStyle w:val="ListBullet"/>
        <w:numPr>
          <w:ilvl w:val="0"/>
          <w:numId w:val="8"/>
        </w:numPr>
      </w:pPr>
      <w:r>
        <w:rPr>
          <w:color w:val="333333"/>
          <w:sz w:val="22"/>
          <w:szCs w:val="22"/>
        </w:rPr>
        <w:t xml:space="preserve">Approximately 300+ state corporations and state agencies in Kenya</w:t>
      </w:r>
    </w:p>
    <w:p>
      <w:pPr>
        <w:pStyle w:val="Normal"/>
      </w:pPr>
      <w:r>
        <w:rPr>
          <w:color w:val="2C3E50"/>
          <w:sz w:val="22"/>
          <w:szCs w:val="22"/>
          <w:b w:val="1"/>
          <w:bCs w:val="1"/>
        </w:rPr>
        <w:t xml:space="preserve">Target profile:</w:t>
      </w:r>
      <w:r>
        <w:rPr>
          <w:color w:val="333333"/>
          <w:sz w:val="22"/>
          <w:szCs w:val="22"/>
        </w:rPr>
        <w:t xml:space="preserve">Target profile:</w:t>
      </w:r>
    </w:p>
    <w:p>
      <w:pPr>
        <w:pStyle w:val="ListBullet"/>
        <w:numPr>
          <w:ilvl w:val="0"/>
          <w:numId w:val="8"/>
        </w:numPr>
      </w:pPr>
      <w:r>
        <w:rPr>
          <w:color w:val="333333"/>
          <w:sz w:val="22"/>
          <w:szCs w:val="22"/>
        </w:rPr>
        <w:t xml:space="preserve">State corporations with boards of 5-15 members</w:t>
      </w:r>
    </w:p>
    <w:p>
      <w:pPr>
        <w:pStyle w:val="ListBullet"/>
        <w:numPr>
          <w:ilvl w:val="0"/>
          <w:numId w:val="8"/>
        </w:numPr>
      </w:pPr>
      <w:r>
        <w:rPr>
          <w:color w:val="333333"/>
          <w:sz w:val="22"/>
          <w:szCs w:val="22"/>
        </w:rPr>
        <w:t xml:space="preserve">Have a designated Corporation Secretary</w:t>
      </w:r>
    </w:p>
    <w:p>
      <w:pPr>
        <w:pStyle w:val="ListBullet"/>
        <w:numPr>
          <w:ilvl w:val="0"/>
          <w:numId w:val="8"/>
        </w:numPr>
      </w:pPr>
      <w:r>
        <w:rPr>
          <w:color w:val="333333"/>
          <w:sz w:val="22"/>
          <w:szCs w:val="22"/>
        </w:rPr>
        <w:t xml:space="preserve">Currently using manual or semi-manual governance processes</w:t>
      </w:r>
    </w:p>
    <w:p>
      <w:pPr>
        <w:pStyle w:val="ListBullet"/>
        <w:numPr>
          <w:ilvl w:val="0"/>
          <w:numId w:val="8"/>
        </w:numPr>
      </w:pPr>
      <w:r>
        <w:rPr>
          <w:color w:val="333333"/>
          <w:sz w:val="22"/>
          <w:szCs w:val="22"/>
        </w:rPr>
        <w:t xml:space="preserve">Have experienced governance audit findings or compliance pressure</w:t>
      </w:r>
    </w:p>
    <w:p>
      <w:pPr>
        <w:pStyle w:val="Normal"/>
      </w:pPr>
      <w:r>
        <w:rPr>
          <w:color w:val="2C3E50"/>
          <w:sz w:val="22"/>
          <w:szCs w:val="22"/>
          <w:b w:val="1"/>
          <w:bCs w:val="1"/>
        </w:rPr>
        <w:t xml:space="preserve">Entry point:</w:t>
      </w:r>
      <w:r>
        <w:rPr>
          <w:color w:val="333333"/>
          <w:sz w:val="22"/>
          <w:szCs w:val="22"/>
        </w:rPr>
        <w:t xml:space="preserve">Entry point:</w:t>
      </w:r>
      <w:r>
        <w:rPr>
          <w:color w:val="333333"/>
          <w:sz w:val="22"/>
          <w:szCs w:val="22"/>
        </w:rPr>
        <w:t xml:space="preserve"> Corporation Secretary, with engagement of CEO and ICT Head</w:t>
      </w:r>
    </w:p>
    <w:p>
      <w:pPr>
        <w:pStyle w:val="Normal"/>
      </w:pPr>
      <w:r>
        <w:rPr>
          <w:color w:val="2C3E50"/>
          <w:sz w:val="22"/>
          <w:szCs w:val="22"/>
          <w:b w:val="1"/>
          <w:bCs w:val="1"/>
        </w:rPr>
        <w:t xml:space="preserve">Initial target list:</w:t>
      </w:r>
      <w:r>
        <w:rPr>
          <w:color w:val="333333"/>
          <w:sz w:val="22"/>
          <w:szCs w:val="22"/>
        </w:rPr>
        <w:t xml:space="preserve">Initial target list:</w:t>
      </w:r>
      <w:r>
        <w:rPr>
          <w:color w:val="333333"/>
          <w:sz w:val="22"/>
          <w:szCs w:val="22"/>
        </w:rPr>
        <w:t xml:space="preserve"> 15-20 state corporations across key sectors (health, water, energy, agriculture, education, transport)</w:t>
      </w:r>
    </w:p>
    <w:p>
      <w:pPr>
        <w:pStyle w:val="Heading3"/>
      </w:pPr>
      <w:bookmarkStart w:id="23" w:name="_Toc23"/>
      <w:r>
        <w:t>Segment 2: Independent Regulatory Bodies and Commissions (Priority: High)</w:t>
      </w:r>
      <w:bookmarkEnd w:id="23"/>
    </w:p>
    <w:p>
      <w:pPr>
        <w:pStyle w:val="Normal"/>
      </w:pPr>
      <w:r>
        <w:rPr>
          <w:color w:val="2C3E50"/>
          <w:sz w:val="22"/>
          <w:szCs w:val="22"/>
          <w:b w:val="1"/>
          <w:bCs w:val="1"/>
        </w:rPr>
        <w:t xml:space="preserve">Why target second:</w:t>
      </w:r>
      <w:r>
        <w:rPr>
          <w:color w:val="333333"/>
          <w:sz w:val="22"/>
          <w:szCs w:val="22"/>
        </w:rPr>
        <w:t xml:space="preserve">Why target second:</w:t>
      </w:r>
    </w:p>
    <w:p>
      <w:pPr>
        <w:pStyle w:val="ListBullet"/>
        <w:numPr>
          <w:ilvl w:val="0"/>
          <w:numId w:val="8"/>
        </w:numPr>
      </w:pPr>
      <w:r>
        <w:rPr>
          <w:color w:val="333333"/>
          <w:sz w:val="22"/>
          <w:szCs w:val="22"/>
        </w:rPr>
        <w:t xml:space="preserve">Similar compliance requirements to state corporations</w:t>
      </w:r>
    </w:p>
    <w:p>
      <w:pPr>
        <w:pStyle w:val="ListBullet"/>
        <w:numPr>
          <w:ilvl w:val="0"/>
          <w:numId w:val="8"/>
        </w:numPr>
      </w:pPr>
      <w:r>
        <w:rPr>
          <w:color w:val="333333"/>
          <w:sz w:val="22"/>
          <w:szCs w:val="22"/>
        </w:rPr>
        <w:t xml:space="preserve">Generally have well-structured boards with clear governance mandates</w:t>
      </w:r>
    </w:p>
    <w:p>
      <w:pPr>
        <w:pStyle w:val="ListBullet"/>
        <w:numPr>
          <w:ilvl w:val="0"/>
          <w:numId w:val="8"/>
        </w:numPr>
      </w:pPr>
      <w:r>
        <w:rPr>
          <w:color w:val="333333"/>
          <w:sz w:val="22"/>
          <w:szCs w:val="22"/>
        </w:rPr>
        <w:t xml:space="preserve">Tend to be early technology adopters (smaller, more agile than large ministries)</w:t>
      </w:r>
    </w:p>
    <w:p>
      <w:pPr>
        <w:pStyle w:val="ListBullet"/>
        <w:numPr>
          <w:ilvl w:val="0"/>
          <w:numId w:val="8"/>
        </w:numPr>
      </w:pPr>
      <w:r>
        <w:rPr>
          <w:color w:val="333333"/>
          <w:sz w:val="22"/>
          <w:szCs w:val="22"/>
        </w:rPr>
        <w:t xml:space="preserve">Strong reputational motivation for governance excellence (regulators must lead by example)</w:t>
      </w:r>
    </w:p>
    <w:p>
      <w:pPr>
        <w:pStyle w:val="ListBullet"/>
        <w:numPr>
          <w:ilvl w:val="0"/>
          <w:numId w:val="8"/>
        </w:numPr>
      </w:pPr>
      <w:r>
        <w:rPr>
          <w:color w:val="333333"/>
          <w:sz w:val="22"/>
          <w:szCs w:val="22"/>
        </w:rPr>
        <w:t xml:space="preserve">Concentrated in Nairobi, reducing logistics costs</w:t>
      </w:r>
    </w:p>
    <w:p>
      <w:pPr>
        <w:pStyle w:val="ListBullet"/>
        <w:numPr>
          <w:ilvl w:val="0"/>
          <w:numId w:val="8"/>
        </w:numPr>
      </w:pPr>
      <w:r>
        <w:rPr>
          <w:color w:val="333333"/>
          <w:sz w:val="22"/>
          <w:szCs w:val="22"/>
        </w:rPr>
        <w:t xml:space="preserve">Approximately 50-70 regulatory bodies and constitutional commissions in Kenya</w:t>
      </w:r>
    </w:p>
    <w:p>
      <w:pPr>
        <w:pStyle w:val="Normal"/>
      </w:pPr>
      <w:r>
        <w:rPr>
          <w:color w:val="2C3E50"/>
          <w:sz w:val="22"/>
          <w:szCs w:val="22"/>
          <w:b w:val="1"/>
          <w:bCs w:val="1"/>
        </w:rPr>
        <w:t xml:space="preserve">Target profile:</w:t>
      </w:r>
      <w:r>
        <w:rPr>
          <w:color w:val="333333"/>
          <w:sz w:val="22"/>
          <w:szCs w:val="22"/>
        </w:rPr>
        <w:t xml:space="preserve">Target profile:</w:t>
      </w:r>
    </w:p>
    <w:p>
      <w:pPr>
        <w:pStyle w:val="ListBullet"/>
        <w:numPr>
          <w:ilvl w:val="0"/>
          <w:numId w:val="8"/>
        </w:numPr>
      </w:pPr>
      <w:r>
        <w:rPr>
          <w:color w:val="333333"/>
          <w:sz w:val="22"/>
          <w:szCs w:val="22"/>
        </w:rPr>
        <w:t xml:space="preserve">Regulatory authorities (CMA, CBK, ERC, EPRA, CAK, etc.)</w:t>
      </w:r>
    </w:p>
    <w:p>
      <w:pPr>
        <w:pStyle w:val="ListBullet"/>
        <w:numPr>
          <w:ilvl w:val="0"/>
          <w:numId w:val="8"/>
        </w:numPr>
      </w:pPr>
      <w:r>
        <w:rPr>
          <w:color w:val="333333"/>
          <w:sz w:val="22"/>
          <w:szCs w:val="22"/>
        </w:rPr>
        <w:t xml:space="preserve">Constitutional commissions (EACC, SRC, NLC, etc.)</w:t>
      </w:r>
    </w:p>
    <w:p>
      <w:pPr>
        <w:pStyle w:val="ListBullet"/>
        <w:numPr>
          <w:ilvl w:val="0"/>
          <w:numId w:val="8"/>
        </w:numPr>
      </w:pPr>
      <w:r>
        <w:rPr>
          <w:color w:val="333333"/>
          <w:sz w:val="22"/>
          <w:szCs w:val="22"/>
        </w:rPr>
        <w:t xml:space="preserve">Agencies with multiple committees requiring governance support</w:t>
      </w:r>
    </w:p>
    <w:p>
      <w:pPr>
        <w:pStyle w:val="Normal"/>
      </w:pPr>
      <w:r>
        <w:rPr>
          <w:color w:val="2C3E50"/>
          <w:sz w:val="22"/>
          <w:szCs w:val="22"/>
          <w:b w:val="1"/>
          <w:bCs w:val="1"/>
        </w:rPr>
        <w:t xml:space="preserve">Entry point:</w:t>
      </w:r>
      <w:r>
        <w:rPr>
          <w:color w:val="333333"/>
          <w:sz w:val="22"/>
          <w:szCs w:val="22"/>
        </w:rPr>
        <w:t xml:space="preserve">Entry point:</w:t>
      </w:r>
      <w:r>
        <w:rPr>
          <w:color w:val="333333"/>
          <w:sz w:val="22"/>
          <w:szCs w:val="22"/>
        </w:rPr>
        <w:t xml:space="preserve"> Corporation Secretary or CEO</w:t>
      </w:r>
    </w:p>
    <w:p>
      <w:pPr>
        <w:pStyle w:val="Normal"/>
      </w:pPr>
      <w:r>
        <w:rPr>
          <w:color w:val="2C3E50"/>
          <w:sz w:val="22"/>
          <w:szCs w:val="22"/>
          <w:b w:val="1"/>
          <w:bCs w:val="1"/>
        </w:rPr>
        <w:t xml:space="preserve">Initial target list:</w:t>
      </w:r>
      <w:r>
        <w:rPr>
          <w:color w:val="333333"/>
          <w:sz w:val="22"/>
          <w:szCs w:val="22"/>
        </w:rPr>
        <w:t xml:space="preserve">Initial target list:</w:t>
      </w:r>
      <w:r>
        <w:rPr>
          <w:color w:val="333333"/>
          <w:sz w:val="22"/>
          <w:szCs w:val="22"/>
        </w:rPr>
        <w:t xml:space="preserve"> 10-15 regulatory bodies and commissions</w:t>
      </w:r>
    </w:p>
    <w:p>
      <w:pPr>
        <w:pStyle w:val="Heading3"/>
      </w:pPr>
      <w:bookmarkStart w:id="24" w:name="_Toc24"/>
      <w:r>
        <w:t>Segment 3: Large NGOs and International Organisations (Priority: High)</w:t>
      </w:r>
      <w:bookmarkEnd w:id="24"/>
    </w:p>
    <w:p>
      <w:pPr>
        <w:pStyle w:val="Normal"/>
      </w:pPr>
      <w:r>
        <w:rPr>
          <w:color w:val="2C3E50"/>
          <w:sz w:val="22"/>
          <w:szCs w:val="22"/>
          <w:b w:val="1"/>
          <w:bCs w:val="1"/>
        </w:rPr>
        <w:t xml:space="preserve">Why target alongside government:</w:t>
      </w:r>
      <w:r>
        <w:rPr>
          <w:color w:val="333333"/>
          <w:sz w:val="22"/>
          <w:szCs w:val="22"/>
        </w:rPr>
        <w:t xml:space="preserve">Why target alongside government:</w:t>
      </w:r>
    </w:p>
    <w:p>
      <w:pPr>
        <w:pStyle w:val="ListBullet"/>
        <w:numPr>
          <w:ilvl w:val="0"/>
          <w:numId w:val="8"/>
        </w:numPr>
      </w:pPr>
      <w:r>
        <w:rPr>
          <w:color w:val="333333"/>
          <w:sz w:val="22"/>
          <w:szCs w:val="22"/>
        </w:rPr>
        <w:t xml:space="preserve">Faster procurement cycles than government (30-90 days vs. 90-240 days)</w:t>
      </w:r>
    </w:p>
    <w:p>
      <w:pPr>
        <w:pStyle w:val="ListBullet"/>
        <w:numPr>
          <w:ilvl w:val="0"/>
          <w:numId w:val="8"/>
        </w:numPr>
      </w:pPr>
      <w:r>
        <w:rPr>
          <w:color w:val="333333"/>
          <w:sz w:val="22"/>
          <w:szCs w:val="22"/>
        </w:rPr>
        <w:t xml:space="preserve">Provides early revenue while government pipeline matures</w:t>
      </w:r>
    </w:p>
    <w:p>
      <w:pPr>
        <w:pStyle w:val="ListBullet"/>
        <w:numPr>
          <w:ilvl w:val="0"/>
          <w:numId w:val="8"/>
        </w:numPr>
      </w:pPr>
      <w:r>
        <w:rPr>
          <w:color w:val="333333"/>
          <w:sz w:val="22"/>
          <w:szCs w:val="22"/>
        </w:rPr>
        <w:t xml:space="preserve">Strong governance culture driven by donor accountability requirements</w:t>
      </w:r>
    </w:p>
    <w:p>
      <w:pPr>
        <w:pStyle w:val="ListBullet"/>
        <w:numPr>
          <w:ilvl w:val="0"/>
          <w:numId w:val="8"/>
        </w:numPr>
      </w:pPr>
      <w:r>
        <w:rPr>
          <w:color w:val="333333"/>
          <w:sz w:val="22"/>
          <w:szCs w:val="22"/>
        </w:rPr>
        <w:t xml:space="preserve">International organisations often have bigger budgets and willingness to pay for governance tools</w:t>
      </w:r>
    </w:p>
    <w:p>
      <w:pPr>
        <w:pStyle w:val="ListBullet"/>
        <w:numPr>
          <w:ilvl w:val="0"/>
          <w:numId w:val="8"/>
        </w:numPr>
      </w:pPr>
      <w:r>
        <w:rPr>
          <w:color w:val="333333"/>
          <w:sz w:val="22"/>
          <w:szCs w:val="22"/>
        </w:rPr>
        <w:t xml:space="preserve">Board governance is a condition of donor funding for many NGOs</w:t>
      </w:r>
    </w:p>
    <w:p>
      <w:pPr>
        <w:pStyle w:val="ListBullet"/>
        <w:numPr>
          <w:ilvl w:val="0"/>
          <w:numId w:val="8"/>
        </w:numPr>
      </w:pPr>
      <w:r>
        <w:rPr>
          <w:color w:val="333333"/>
          <w:sz w:val="22"/>
          <w:szCs w:val="22"/>
        </w:rPr>
        <w:t xml:space="preserve">Hundreds of large NGOs and international organisations operating in Kenya</w:t>
      </w:r>
    </w:p>
    <w:p>
      <w:pPr>
        <w:pStyle w:val="Normal"/>
      </w:pPr>
      <w:r>
        <w:rPr>
          <w:color w:val="2C3E50"/>
          <w:sz w:val="22"/>
          <w:szCs w:val="22"/>
          <w:b w:val="1"/>
          <w:bCs w:val="1"/>
        </w:rPr>
        <w:t xml:space="preserve">Target profile:</w:t>
      </w:r>
      <w:r>
        <w:rPr>
          <w:color w:val="333333"/>
          <w:sz w:val="22"/>
          <w:szCs w:val="22"/>
        </w:rPr>
        <w:t xml:space="preserve">Target profile:</w:t>
      </w:r>
    </w:p>
    <w:p>
      <w:pPr>
        <w:pStyle w:val="ListBullet"/>
        <w:numPr>
          <w:ilvl w:val="0"/>
          <w:numId w:val="8"/>
        </w:numPr>
      </w:pPr>
      <w:r>
        <w:rPr>
          <w:color w:val="333333"/>
          <w:sz w:val="22"/>
          <w:szCs w:val="22"/>
        </w:rPr>
        <w:t xml:space="preserve">International NGOs with Kenya offices and local boards or advisory committees</w:t>
      </w:r>
    </w:p>
    <w:p>
      <w:pPr>
        <w:pStyle w:val="ListBullet"/>
        <w:numPr>
          <w:ilvl w:val="0"/>
          <w:numId w:val="8"/>
        </w:numPr>
      </w:pPr>
      <w:r>
        <w:rPr>
          <w:color w:val="333333"/>
          <w:sz w:val="22"/>
          <w:szCs w:val="22"/>
        </w:rPr>
        <w:t xml:space="preserve">Large national NGOs with formal governance structures</w:t>
      </w:r>
    </w:p>
    <w:p>
      <w:pPr>
        <w:pStyle w:val="ListBullet"/>
        <w:numPr>
          <w:ilvl w:val="0"/>
          <w:numId w:val="8"/>
        </w:numPr>
      </w:pPr>
      <w:r>
        <w:rPr>
          <w:color w:val="333333"/>
          <w:sz w:val="22"/>
          <w:szCs w:val="22"/>
        </w:rPr>
        <w:t xml:space="preserve">UN agencies and multilateral organisations with governance committees</w:t>
      </w:r>
    </w:p>
    <w:p>
      <w:pPr>
        <w:pStyle w:val="ListBullet"/>
        <w:numPr>
          <w:ilvl w:val="0"/>
          <w:numId w:val="8"/>
        </w:numPr>
      </w:pPr>
      <w:r>
        <w:rPr>
          <w:color w:val="333333"/>
          <w:sz w:val="22"/>
          <w:szCs w:val="22"/>
        </w:rPr>
        <w:t xml:space="preserve">Membership-based professional bodies with elected boards</w:t>
      </w:r>
    </w:p>
    <w:p>
      <w:pPr>
        <w:pStyle w:val="Normal"/>
      </w:pPr>
      <w:r>
        <w:rPr>
          <w:color w:val="2C3E50"/>
          <w:sz w:val="22"/>
          <w:szCs w:val="22"/>
          <w:b w:val="1"/>
          <w:bCs w:val="1"/>
        </w:rPr>
        <w:t xml:space="preserve">Entry point:</w:t>
      </w:r>
      <w:r>
        <w:rPr>
          <w:color w:val="333333"/>
          <w:sz w:val="22"/>
          <w:szCs w:val="22"/>
        </w:rPr>
        <w:t xml:space="preserve">Entry point:</w:t>
      </w:r>
      <w:r>
        <w:rPr>
          <w:color w:val="333333"/>
          <w:sz w:val="22"/>
          <w:szCs w:val="22"/>
        </w:rPr>
        <w:t xml:space="preserve"> CEO, Country Director, or Head of Operations</w:t>
      </w:r>
    </w:p>
    <w:p>
      <w:pPr>
        <w:pStyle w:val="Normal"/>
      </w:pPr>
      <w:r>
        <w:rPr>
          <w:color w:val="2C3E50"/>
          <w:sz w:val="22"/>
          <w:szCs w:val="22"/>
          <w:b w:val="1"/>
          <w:bCs w:val="1"/>
        </w:rPr>
        <w:t xml:space="preserve">Initial target list:</w:t>
      </w:r>
      <w:r>
        <w:rPr>
          <w:color w:val="333333"/>
          <w:sz w:val="22"/>
          <w:szCs w:val="22"/>
        </w:rPr>
        <w:t xml:space="preserve">Initial target list:</w:t>
      </w:r>
      <w:r>
        <w:rPr>
          <w:color w:val="333333"/>
          <w:sz w:val="22"/>
          <w:szCs w:val="22"/>
        </w:rPr>
        <w:t xml:space="preserve"> 15-20 large NGOs and international organisations</w:t>
      </w:r>
    </w:p>
    <w:p>
      <w:pPr>
        <w:pStyle w:val="Heading3"/>
      </w:pPr>
      <w:bookmarkStart w:id="25" w:name="_Toc25"/>
      <w:r>
        <w:t>Segment Prioritisation Summary</w:t>
      </w:r>
      <w:bookmarkEnd w:id="25"/>
    </w:p>
    <w:tbl>
      <w:tblGrid>
        <w:gridCol/>
        <w:gridCol/>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Segment</w:t>
            </w:r>
          </w:p>
        </w:tc>
        <w:tc>
          <w:tcPr>
            <w:vAlign w:val="top"/>
            <w:shd w:val="clear" w:fill="1B4F72"/>
          </w:tcPr>
          <w:p>
            <w:pPr>
              <w:spacing w:after="20"/>
            </w:pPr>
            <w:r>
              <w:rPr>
                <w:color w:val="FFFFFF"/>
                <w:sz w:val="18"/>
                <w:szCs w:val="18"/>
                <w:b w:val="1"/>
                <w:bCs w:val="1"/>
              </w:rPr>
              <w:t xml:space="preserve">Volume in Kenya</w:t>
            </w:r>
          </w:p>
        </w:tc>
        <w:tc>
          <w:tcPr>
            <w:vAlign w:val="top"/>
            <w:shd w:val="clear" w:fill="1B4F72"/>
          </w:tcPr>
          <w:p>
            <w:pPr>
              <w:spacing w:after="20"/>
            </w:pPr>
            <w:r>
              <w:rPr>
                <w:color w:val="FFFFFF"/>
                <w:sz w:val="18"/>
                <w:szCs w:val="18"/>
                <w:b w:val="1"/>
                <w:bCs w:val="1"/>
              </w:rPr>
              <w:t xml:space="preserve">Sales Cycle</w:t>
            </w:r>
          </w:p>
        </w:tc>
        <w:tc>
          <w:tcPr>
            <w:vAlign w:val="top"/>
            <w:shd w:val="clear" w:fill="1B4F72"/>
          </w:tcPr>
          <w:p>
            <w:pPr>
              <w:spacing w:after="20"/>
            </w:pPr>
            <w:r>
              <w:rPr>
                <w:color w:val="FFFFFF"/>
                <w:sz w:val="18"/>
                <w:szCs w:val="18"/>
                <w:b w:val="1"/>
                <w:bCs w:val="1"/>
              </w:rPr>
              <w:t xml:space="preserve">Deal Size</w:t>
            </w:r>
          </w:p>
        </w:tc>
        <w:tc>
          <w:tcPr>
            <w:vAlign w:val="top"/>
            <w:shd w:val="clear" w:fill="1B4F72"/>
          </w:tcPr>
          <w:p>
            <w:pPr>
              <w:spacing w:after="20"/>
            </w:pPr>
            <w:r>
              <w:rPr>
                <w:color w:val="FFFFFF"/>
                <w:sz w:val="18"/>
                <w:szCs w:val="18"/>
                <w:b w:val="1"/>
                <w:bCs w:val="1"/>
              </w:rPr>
              <w:t xml:space="preserve">Compliance Driver</w:t>
            </w:r>
          </w:p>
        </w:tc>
        <w:tc>
          <w:tcPr>
            <w:vAlign w:val="top"/>
            <w:shd w:val="clear" w:fill="1B4F72"/>
          </w:tcPr>
          <w:p>
            <w:pPr>
              <w:spacing w:after="20"/>
            </w:pPr>
            <w:r>
              <w:rPr>
                <w:color w:val="FFFFFF"/>
                <w:sz w:val="18"/>
                <w:szCs w:val="18"/>
                <w:b w:val="1"/>
                <w:bCs w:val="1"/>
              </w:rPr>
              <w:t xml:space="preserve">Priority</w:t>
            </w:r>
          </w:p>
        </w:tc>
      </w:tr>
      <w:tr>
        <w:trPr/>
        <w:tc>
          <w:tcPr>
            <w:vAlign w:val="top"/>
          </w:tcPr>
          <w:p>
            <w:pPr>
              <w:spacing w:after="20"/>
            </w:pPr>
            <w:r>
              <w:rPr>
                <w:color w:val="333333"/>
                <w:sz w:val="18"/>
                <w:szCs w:val="18"/>
              </w:rPr>
              <w:t xml:space="preserve">State Corporations</w:t>
            </w:r>
          </w:p>
        </w:tc>
        <w:tc>
          <w:tcPr>
            <w:vAlign w:val="top"/>
          </w:tcPr>
          <w:p>
            <w:pPr>
              <w:spacing w:after="20"/>
            </w:pPr>
            <w:r>
              <w:rPr>
                <w:color w:val="333333"/>
                <w:sz w:val="18"/>
                <w:szCs w:val="18"/>
              </w:rPr>
              <w:t xml:space="preserve">300+</w:t>
            </w:r>
          </w:p>
        </w:tc>
        <w:tc>
          <w:tcPr>
            <w:vAlign w:val="top"/>
          </w:tcPr>
          <w:p>
            <w:pPr>
              <w:spacing w:after="20"/>
            </w:pPr>
            <w:r>
              <w:rPr>
                <w:color w:val="333333"/>
                <w:sz w:val="18"/>
                <w:szCs w:val="18"/>
              </w:rPr>
              <w:t xml:space="preserve">90-180 days</w:t>
            </w:r>
          </w:p>
        </w:tc>
        <w:tc>
          <w:tcPr>
            <w:vAlign w:val="top"/>
          </w:tcPr>
          <w:p>
            <w:pPr>
              <w:spacing w:after="20"/>
            </w:pPr>
            <w:r>
              <w:rPr>
                <w:color w:val="333333"/>
                <w:sz w:val="18"/>
                <w:szCs w:val="18"/>
              </w:rPr>
              <w:t xml:space="preserve">High</w:t>
            </w:r>
          </w:p>
        </w:tc>
        <w:tc>
          <w:tcPr>
            <w:vAlign w:val="top"/>
          </w:tcPr>
          <w:p>
            <w:pPr>
              <w:spacing w:after="20"/>
            </w:pPr>
            <w:r>
              <w:rPr>
                <w:color w:val="333333"/>
                <w:sz w:val="18"/>
                <w:szCs w:val="18"/>
              </w:rPr>
              <w:t xml:space="preserve">Mwongozo (mandatory)</w:t>
            </w:r>
          </w:p>
        </w:tc>
        <w:tc>
          <w:tcPr>
            <w:vAlign w:val="top"/>
          </w:tcPr>
          <w:p>
            <w:pPr>
              <w:spacing w:after="20"/>
            </w:pPr>
            <w:r>
              <w:rPr>
                <w:color w:val="333333"/>
                <w:sz w:val="18"/>
                <w:szCs w:val="18"/>
              </w:rPr>
              <w:t xml:space="preserve">Highest</w:t>
            </w:r>
          </w:p>
        </w:tc>
      </w:tr>
      <w:tr>
        <w:trPr/>
        <w:tc>
          <w:tcPr>
            <w:vAlign w:val="top"/>
            <w:shd w:val="clear" w:fill="F8F9FA"/>
          </w:tcPr>
          <w:p>
            <w:pPr>
              <w:spacing w:after="20"/>
            </w:pPr>
            <w:r>
              <w:rPr>
                <w:color w:val="333333"/>
                <w:sz w:val="18"/>
                <w:szCs w:val="18"/>
              </w:rPr>
              <w:t xml:space="preserve">Regulatory Bodies</w:t>
            </w:r>
          </w:p>
        </w:tc>
        <w:tc>
          <w:tcPr>
            <w:vAlign w:val="top"/>
            <w:shd w:val="clear" w:fill="F8F9FA"/>
          </w:tcPr>
          <w:p>
            <w:pPr>
              <w:spacing w:after="20"/>
            </w:pPr>
            <w:r>
              <w:rPr>
                <w:color w:val="333333"/>
                <w:sz w:val="18"/>
                <w:szCs w:val="18"/>
              </w:rPr>
              <w:t xml:space="preserve">50-70</w:t>
            </w:r>
          </w:p>
        </w:tc>
        <w:tc>
          <w:tcPr>
            <w:vAlign w:val="top"/>
            <w:shd w:val="clear" w:fill="F8F9FA"/>
          </w:tcPr>
          <w:p>
            <w:pPr>
              <w:spacing w:after="20"/>
            </w:pPr>
            <w:r>
              <w:rPr>
                <w:color w:val="333333"/>
                <w:sz w:val="18"/>
                <w:szCs w:val="18"/>
              </w:rPr>
              <w:t xml:space="preserve">60-120 days</w:t>
            </w:r>
          </w:p>
        </w:tc>
        <w:tc>
          <w:tcPr>
            <w:vAlign w:val="top"/>
            <w:shd w:val="clear" w:fill="F8F9FA"/>
          </w:tcPr>
          <w:p>
            <w:pPr>
              <w:spacing w:after="20"/>
            </w:pPr>
            <w:r>
              <w:rPr>
                <w:color w:val="333333"/>
                <w:sz w:val="18"/>
                <w:szCs w:val="18"/>
              </w:rPr>
              <w:t xml:space="preserve">Medium-High</w:t>
            </w:r>
          </w:p>
        </w:tc>
        <w:tc>
          <w:tcPr>
            <w:vAlign w:val="top"/>
            <w:shd w:val="clear" w:fill="F8F9FA"/>
          </w:tcPr>
          <w:p>
            <w:pPr>
              <w:spacing w:after="20"/>
            </w:pPr>
            <w:r>
              <w:rPr>
                <w:color w:val="333333"/>
                <w:sz w:val="18"/>
                <w:szCs w:val="18"/>
              </w:rPr>
              <w:t xml:space="preserve">Public accountability</w:t>
            </w:r>
          </w:p>
        </w:tc>
        <w:tc>
          <w:tcPr>
            <w:vAlign w:val="top"/>
            <w:shd w:val="clear" w:fill="F8F9FA"/>
          </w:tcPr>
          <w:p>
            <w:pPr>
              <w:spacing w:after="20"/>
            </w:pPr>
            <w:r>
              <w:rPr>
                <w:color w:val="333333"/>
                <w:sz w:val="18"/>
                <w:szCs w:val="18"/>
              </w:rPr>
              <w:t xml:space="preserve">High</w:t>
            </w:r>
          </w:p>
        </w:tc>
      </w:tr>
      <w:tr>
        <w:trPr/>
        <w:tc>
          <w:tcPr>
            <w:vAlign w:val="top"/>
          </w:tcPr>
          <w:p>
            <w:pPr>
              <w:spacing w:after="20"/>
            </w:pPr>
            <w:r>
              <w:rPr>
                <w:color w:val="333333"/>
                <w:sz w:val="18"/>
                <w:szCs w:val="18"/>
              </w:rPr>
              <w:t xml:space="preserve">Large NGOs / INGOs</w:t>
            </w:r>
          </w:p>
        </w:tc>
        <w:tc>
          <w:tcPr>
            <w:vAlign w:val="top"/>
          </w:tcPr>
          <w:p>
            <w:pPr>
              <w:spacing w:after="20"/>
            </w:pPr>
            <w:r>
              <w:rPr>
                <w:color w:val="333333"/>
                <w:sz w:val="18"/>
                <w:szCs w:val="18"/>
              </w:rPr>
              <w:t xml:space="preserve">200+</w:t>
            </w:r>
          </w:p>
        </w:tc>
        <w:tc>
          <w:tcPr>
            <w:vAlign w:val="top"/>
          </w:tcPr>
          <w:p>
            <w:pPr>
              <w:spacing w:after="20"/>
            </w:pPr>
            <w:r>
              <w:rPr>
                <w:color w:val="333333"/>
                <w:sz w:val="18"/>
                <w:szCs w:val="18"/>
              </w:rPr>
              <w:t xml:space="preserve">30-90 days</w:t>
            </w:r>
          </w:p>
        </w:tc>
        <w:tc>
          <w:tcPr>
            <w:vAlign w:val="top"/>
          </w:tcPr>
          <w:p>
            <w:pPr>
              <w:spacing w:after="20"/>
            </w:pPr>
            <w:r>
              <w:rPr>
                <w:color w:val="333333"/>
                <w:sz w:val="18"/>
                <w:szCs w:val="18"/>
              </w:rPr>
              <w:t xml:space="preserve">Medium</w:t>
            </w:r>
          </w:p>
        </w:tc>
        <w:tc>
          <w:tcPr>
            <w:vAlign w:val="top"/>
          </w:tcPr>
          <w:p>
            <w:pPr>
              <w:spacing w:after="20"/>
            </w:pPr>
            <w:r>
              <w:rPr>
                <w:color w:val="333333"/>
                <w:sz w:val="18"/>
                <w:szCs w:val="18"/>
              </w:rPr>
              <w:t xml:space="preserve">Donor requirements</w:t>
            </w:r>
          </w:p>
        </w:tc>
        <w:tc>
          <w:tcPr>
            <w:vAlign w:val="top"/>
          </w:tcPr>
          <w:p>
            <w:pPr>
              <w:spacing w:after="20"/>
            </w:pPr>
            <w:r>
              <w:rPr>
                <w:color w:val="333333"/>
                <w:sz w:val="18"/>
                <w:szCs w:val="18"/>
              </w:rPr>
              <w:t xml:space="preserve">High</w:t>
            </w:r>
          </w:p>
        </w:tc>
      </w:tr>
    </w:tbl>
    <w:p>
      <w:pPr>
        <w:pStyle w:val="Normal"/>
      </w:pPr>
      <w:r>
        <w:rPr>
          <w:color w:val="2C3E50"/>
          <w:sz w:val="22"/>
          <w:szCs w:val="22"/>
          <w:b w:val="1"/>
          <w:bCs w:val="1"/>
        </w:rPr>
        <w:t xml:space="preserve">Why these three first:</w:t>
      </w:r>
      <w:r>
        <w:rPr>
          <w:color w:val="333333"/>
          <w:sz w:val="22"/>
          <w:szCs w:val="22"/>
        </w:rPr>
        <w:t xml:space="preserve">Why these three first:</w:t>
      </w:r>
    </w:p>
    <w:p>
      <w:pPr>
        <w:pStyle w:val="ListBullet"/>
        <w:numPr>
          <w:ilvl w:val="0"/>
          <w:numId w:val="8"/>
        </w:numPr>
      </w:pPr>
      <w:r>
        <w:rPr>
          <w:color w:val="333333"/>
          <w:sz w:val="22"/>
          <w:szCs w:val="22"/>
        </w:rPr>
        <w:t xml:space="preserve">Combined, they represent 500+ potential customers in Kenya alone</w:t>
      </w:r>
    </w:p>
    <w:p>
      <w:pPr>
        <w:pStyle w:val="ListBullet"/>
        <w:numPr>
          <w:ilvl w:val="0"/>
          <w:numId w:val="8"/>
        </w:numPr>
      </w:pPr>
      <w:r>
        <w:rPr>
          <w:color w:val="333333"/>
          <w:sz w:val="22"/>
          <w:szCs w:val="22"/>
        </w:rPr>
        <w:t xml:space="preserve">They share common governance language, compliance frameworks, and pain points</w:t>
      </w:r>
    </w:p>
    <w:p>
      <w:pPr>
        <w:pStyle w:val="ListBullet"/>
        <w:numPr>
          <w:ilvl w:val="0"/>
          <w:numId w:val="8"/>
        </w:numPr>
      </w:pPr>
      <w:r>
        <w:rPr>
          <w:color w:val="333333"/>
          <w:sz w:val="22"/>
          <w:szCs w:val="22"/>
        </w:rPr>
        <w:t xml:space="preserve">Success in any one segment generates references applicable to the others</w:t>
      </w:r>
    </w:p>
    <w:p>
      <w:pPr>
        <w:pStyle w:val="ListBullet"/>
        <w:numPr>
          <w:ilvl w:val="0"/>
          <w:numId w:val="8"/>
        </w:numPr>
      </w:pPr>
      <w:r>
        <w:rPr>
          <w:color w:val="333333"/>
          <w:sz w:val="22"/>
          <w:szCs w:val="22"/>
        </w:rPr>
        <w:t xml:space="preserve">They collectively represent the organisations most likely to buy governance technology in the near term</w:t>
      </w:r>
    </w:p>
    <w:p>
      <w:pPr>
        <w:pStyle w:val="Heading2"/>
      </w:pPr>
      <w:bookmarkStart w:id="26" w:name="_Toc26"/>
      <w:r>
        <w:t>10. TOP 5 ACTIONS LOSVINCA SHOULD TAKE IMMEDIATELY</w:t>
      </w:r>
      <w:bookmarkEnd w:id="26"/>
    </w:p>
    <w:p>
      <w:pPr>
        <w:pStyle w:val="Heading3"/>
      </w:pPr>
      <w:bookmarkStart w:id="27" w:name="_Toc27"/>
      <w:r>
        <w:t>Action 1: Prepare and Test the Demo Environment</w:t>
      </w:r>
      <w:bookmarkEnd w:id="27"/>
    </w:p>
    <w:p>
      <w:pPr>
        <w:pStyle w:val="Normal"/>
      </w:pPr>
      <w:r>
        <w:rPr>
          <w:color w:val="2C3E50"/>
          <w:sz w:val="22"/>
          <w:szCs w:val="22"/>
          <w:b w:val="1"/>
          <w:bCs w:val="1"/>
        </w:rPr>
        <w:t xml:space="preserve">What:</w:t>
      </w:r>
      <w:r>
        <w:rPr>
          <w:color w:val="333333"/>
          <w:sz w:val="22"/>
          <w:szCs w:val="22"/>
        </w:rPr>
        <w:t xml:space="preserve">What:</w:t>
      </w:r>
      <w:r>
        <w:rPr>
          <w:color w:val="333333"/>
          <w:sz w:val="22"/>
          <w:szCs w:val="22"/>
        </w:rPr>
        <w:t xml:space="preserve"> Deploy a stable, professionally configured E-Board demo instance with realistic sample data (fictitious state corporation with board members, committees, a meeting in progress, signed minutes, active resolutions, and audit trail entries). Ensure the white-label branding switch works flawlessly so demos can be customised per prospect.</w:t>
      </w:r>
    </w:p>
    <w:p>
      <w:pPr>
        <w:pStyle w:val="Normal"/>
      </w:pPr>
      <w:r>
        <w:rPr>
          <w:color w:val="2C3E50"/>
          <w:sz w:val="22"/>
          <w:szCs w:val="22"/>
          <w:b w:val="1"/>
          <w:bCs w:val="1"/>
        </w:rPr>
        <w:t xml:space="preserve">Why:</w:t>
      </w:r>
      <w:r>
        <w:rPr>
          <w:color w:val="333333"/>
          <w:sz w:val="22"/>
          <w:szCs w:val="22"/>
        </w:rPr>
        <w:t xml:space="preserve">Why:</w:t>
      </w:r>
      <w:r>
        <w:rPr>
          <w:color w:val="333333"/>
          <w:sz w:val="22"/>
          <w:szCs w:val="22"/>
        </w:rPr>
        <w:t xml:space="preserve"> No demo, no deal. This is the single most important asset in institutional sales. Every conversation should lead to a demo, and every demo must be compelling.</w:t>
      </w:r>
    </w:p>
    <w:p>
      <w:pPr>
        <w:pStyle w:val="Normal"/>
      </w:pPr>
      <w:r>
        <w:rPr>
          <w:color w:val="2C3E50"/>
          <w:sz w:val="22"/>
          <w:szCs w:val="22"/>
          <w:b w:val="1"/>
          <w:bCs w:val="1"/>
        </w:rPr>
        <w:t xml:space="preserve">Timeline:</w:t>
      </w:r>
      <w:r>
        <w:rPr>
          <w:color w:val="333333"/>
          <w:sz w:val="22"/>
          <w:szCs w:val="22"/>
        </w:rPr>
        <w:t xml:space="preserve">Timeline:</w:t>
      </w:r>
      <w:r>
        <w:rPr>
          <w:color w:val="333333"/>
          <w:sz w:val="22"/>
          <w:szCs w:val="22"/>
        </w:rPr>
        <w:t xml:space="preserve"> Complete within 5 business days.</w:t>
      </w:r>
    </w:p>
    <w:p>
      <w:pPr>
        <w:pStyle w:val="Normal"/>
      </w:pPr>
      <w:r>
        <w:rPr>
          <w:color w:val="2C3E50"/>
          <w:sz w:val="22"/>
          <w:szCs w:val="22"/>
          <w:b w:val="1"/>
          <w:bCs w:val="1"/>
        </w:rPr>
        <w:t xml:space="preserve">Who:</w:t>
      </w:r>
      <w:r>
        <w:rPr>
          <w:color w:val="333333"/>
          <w:sz w:val="22"/>
          <w:szCs w:val="22"/>
        </w:rPr>
        <w:t xml:space="preserve">Who:</w:t>
      </w:r>
      <w:r>
        <w:rPr>
          <w:color w:val="333333"/>
          <w:sz w:val="22"/>
          <w:szCs w:val="22"/>
        </w:rPr>
        <w:t xml:space="preserve"> Technical lead / developer.</w:t>
      </w:r>
    </w:p>
    <w:p>
      <w:pPr>
        <w:pStyle w:val="Heading3"/>
      </w:pPr>
      <w:bookmarkStart w:id="28" w:name="_Toc28"/>
      <w:r>
        <w:t>Action 2: Build the First 50-Prospect Target List</w:t>
      </w:r>
      <w:bookmarkEnd w:id="28"/>
    </w:p>
    <w:p>
      <w:pPr>
        <w:pStyle w:val="Normal"/>
      </w:pPr>
      <w:r>
        <w:rPr>
          <w:color w:val="2C3E50"/>
          <w:sz w:val="22"/>
          <w:szCs w:val="22"/>
          <w:b w:val="1"/>
          <w:bCs w:val="1"/>
        </w:rPr>
        <w:t xml:space="preserve">What:</w:t>
      </w:r>
      <w:r>
        <w:rPr>
          <w:color w:val="333333"/>
          <w:sz w:val="22"/>
          <w:szCs w:val="22"/>
        </w:rPr>
        <w:t xml:space="preserve">What:</w:t>
      </w:r>
      <w:r>
        <w:rPr>
          <w:color w:val="333333"/>
          <w:sz w:val="22"/>
          <w:szCs w:val="22"/>
        </w:rPr>
        <w:t xml:space="preserve"> Research and compile a structured database of 50 organisations: 20 state corporations, 10 regulatory bodies, and 20 large NGOs/international organisations. For each, capture: Organisation name, sector, board size (if available), Corporation Secretary or CEO name, email, phone, LinkedIn profile, current governance method (if known).</w:t>
      </w:r>
    </w:p>
    <w:p>
      <w:pPr>
        <w:pStyle w:val="Normal"/>
      </w:pPr>
      <w:r>
        <w:rPr>
          <w:color w:val="2C3E50"/>
          <w:sz w:val="22"/>
          <w:szCs w:val="22"/>
          <w:b w:val="1"/>
          <w:bCs w:val="1"/>
        </w:rPr>
        <w:t xml:space="preserve">Why:</w:t>
      </w:r>
      <w:r>
        <w:rPr>
          <w:color w:val="333333"/>
          <w:sz w:val="22"/>
          <w:szCs w:val="22"/>
        </w:rPr>
        <w:t xml:space="preserve">Why:</w:t>
      </w:r>
      <w:r>
        <w:rPr>
          <w:color w:val="333333"/>
          <w:sz w:val="22"/>
          <w:szCs w:val="22"/>
        </w:rPr>
        <w:t xml:space="preserve"> Prospecting without a target list is aimless. The 90-Day Plan (Part 23) depends on having these 50 prospects ready on Day 1.</w:t>
      </w:r>
    </w:p>
    <w:p>
      <w:pPr>
        <w:pStyle w:val="Normal"/>
      </w:pPr>
      <w:r>
        <w:rPr>
          <w:color w:val="2C3E50"/>
          <w:sz w:val="22"/>
          <w:szCs w:val="22"/>
          <w:b w:val="1"/>
          <w:bCs w:val="1"/>
        </w:rPr>
        <w:t xml:space="preserve">Timeline:</w:t>
      </w:r>
      <w:r>
        <w:rPr>
          <w:color w:val="333333"/>
          <w:sz w:val="22"/>
          <w:szCs w:val="22"/>
        </w:rPr>
        <w:t xml:space="preserve">Timeline:</w:t>
      </w:r>
      <w:r>
        <w:rPr>
          <w:color w:val="333333"/>
          <w:sz w:val="22"/>
          <w:szCs w:val="22"/>
        </w:rPr>
        <w:t xml:space="preserve"> Complete within 7 business days.</w:t>
      </w:r>
    </w:p>
    <w:p>
      <w:pPr>
        <w:pStyle w:val="Normal"/>
      </w:pPr>
      <w:r>
        <w:rPr>
          <w:color w:val="2C3E50"/>
          <w:sz w:val="22"/>
          <w:szCs w:val="22"/>
          <w:b w:val="1"/>
          <w:bCs w:val="1"/>
        </w:rPr>
        <w:t xml:space="preserve">Who:</w:t>
      </w:r>
      <w:r>
        <w:rPr>
          <w:color w:val="333333"/>
          <w:sz w:val="22"/>
          <w:szCs w:val="22"/>
        </w:rPr>
        <w:t xml:space="preserve">Who:</w:t>
      </w:r>
      <w:r>
        <w:rPr>
          <w:color w:val="333333"/>
          <w:sz w:val="22"/>
          <w:szCs w:val="22"/>
        </w:rPr>
        <w:t xml:space="preserve"> Sales lead / founder.</w:t>
      </w:r>
    </w:p>
    <w:p>
      <w:pPr>
        <w:pStyle w:val="Heading3"/>
      </w:pPr>
      <w:bookmarkStart w:id="29" w:name="_Toc29"/>
      <w:r>
        <w:t>Action 3: Customise and Finalise Core Sales Collateral</w:t>
      </w:r>
      <w:bookmarkEnd w:id="29"/>
    </w:p>
    <w:p>
      <w:pPr>
        <w:pStyle w:val="Normal"/>
      </w:pPr>
      <w:r>
        <w:rPr>
          <w:color w:val="2C3E50"/>
          <w:sz w:val="22"/>
          <w:szCs w:val="22"/>
          <w:b w:val="1"/>
          <w:bCs w:val="1"/>
        </w:rPr>
        <w:t xml:space="preserve">What:</w:t>
      </w:r>
      <w:r>
        <w:rPr>
          <w:color w:val="333333"/>
          <w:sz w:val="22"/>
          <w:szCs w:val="22"/>
        </w:rPr>
        <w:t xml:space="preserve">What:</w:t>
      </w:r>
      <w:r>
        <w:rPr>
          <w:color w:val="333333"/>
          <w:sz w:val="22"/>
          <w:szCs w:val="22"/>
        </w:rPr>
        <w:t xml:space="preserve"> Take the templates and content from this Sales Kit and produce final, branded versions of:</w:t>
      </w:r>
    </w:p>
    <w:p>
      <w:pPr>
        <w:pStyle w:val="ListBullet"/>
        <w:numPr>
          <w:ilvl w:val="0"/>
          <w:numId w:val="8"/>
        </w:numPr>
      </w:pPr>
      <w:r>
        <w:rPr>
          <w:color w:val="333333"/>
          <w:sz w:val="22"/>
          <w:szCs w:val="22"/>
        </w:rPr>
        <w:t xml:space="preserve">Company profile with actual Losvinca details, team bios, and registration information</w:t>
      </w:r>
    </w:p>
    <w:p>
      <w:pPr>
        <w:pStyle w:val="ListBullet"/>
        <w:numPr>
          <w:ilvl w:val="0"/>
          <w:numId w:val="8"/>
        </w:numPr>
      </w:pPr>
      <w:r>
        <w:rPr>
          <w:color w:val="333333"/>
          <w:sz w:val="22"/>
          <w:szCs w:val="22"/>
        </w:rPr>
        <w:t xml:space="preserve">Product brochure with Losvinca branding and final pricing</w:t>
      </w:r>
    </w:p>
    <w:p>
      <w:pPr>
        <w:pStyle w:val="ListBullet"/>
        <w:numPr>
          <w:ilvl w:val="0"/>
          <w:numId w:val="8"/>
        </w:numPr>
      </w:pPr>
      <w:r>
        <w:rPr>
          <w:color w:val="333333"/>
          <w:sz w:val="22"/>
          <w:szCs w:val="22"/>
        </w:rPr>
        <w:t xml:space="preserve">3 email sequences (one per target segment) personalised and ready to send</w:t>
      </w:r>
    </w:p>
    <w:p>
      <w:pPr>
        <w:pStyle w:val="ListBullet"/>
        <w:numPr>
          <w:ilvl w:val="0"/>
          <w:numId w:val="8"/>
        </w:numPr>
      </w:pPr>
      <w:r>
        <w:rPr>
          <w:color w:val="333333"/>
          <w:sz w:val="22"/>
          <w:szCs w:val="22"/>
        </w:rPr>
        <w:t xml:space="preserve">Proposal template with Losvinca branding and confirmed pricing tiers</w:t>
      </w:r>
    </w:p>
    <w:p>
      <w:pPr>
        <w:pStyle w:val="ListBullet"/>
        <w:numPr>
          <w:ilvl w:val="0"/>
          <w:numId w:val="8"/>
        </w:numPr>
      </w:pPr>
      <w:r>
        <w:rPr>
          <w:color w:val="333333"/>
          <w:sz w:val="22"/>
          <w:szCs w:val="22"/>
        </w:rPr>
        <w:t xml:space="preserve">Contracts reviewed by a lawyer and ready for signature</w:t>
      </w:r>
    </w:p>
    <w:p>
      <w:pPr>
        <w:pStyle w:val="Normal"/>
      </w:pPr>
      <w:r>
        <w:rPr>
          <w:color w:val="2C3E50"/>
          <w:sz w:val="22"/>
          <w:szCs w:val="22"/>
          <w:b w:val="1"/>
          <w:bCs w:val="1"/>
        </w:rPr>
        <w:t xml:space="preserve">Why:</w:t>
      </w:r>
      <w:r>
        <w:rPr>
          <w:color w:val="333333"/>
          <w:sz w:val="22"/>
          <w:szCs w:val="22"/>
        </w:rPr>
        <w:t xml:space="preserve">Why:</w:t>
      </w:r>
      <w:r>
        <w:rPr>
          <w:color w:val="333333"/>
          <w:sz w:val="22"/>
          <w:szCs w:val="22"/>
        </w:rPr>
        <w:t xml:space="preserve"> Templates are useless until they are customised. Every document a prospect sees must be professional, branded, and specific.</w:t>
      </w:r>
    </w:p>
    <w:p>
      <w:pPr>
        <w:pStyle w:val="Normal"/>
      </w:pPr>
      <w:r>
        <w:rPr>
          <w:color w:val="2C3E50"/>
          <w:sz w:val="22"/>
          <w:szCs w:val="22"/>
          <w:b w:val="1"/>
          <w:bCs w:val="1"/>
        </w:rPr>
        <w:t xml:space="preserve">Timeline:</w:t>
      </w:r>
      <w:r>
        <w:rPr>
          <w:color w:val="333333"/>
          <w:sz w:val="22"/>
          <w:szCs w:val="22"/>
        </w:rPr>
        <w:t xml:space="preserve">Timeline:</w:t>
      </w:r>
      <w:r>
        <w:rPr>
          <w:color w:val="333333"/>
          <w:sz w:val="22"/>
          <w:szCs w:val="22"/>
        </w:rPr>
        <w:t xml:space="preserve"> Complete within 10 business days.</w:t>
      </w:r>
    </w:p>
    <w:p>
      <w:pPr>
        <w:pStyle w:val="Normal"/>
      </w:pPr>
      <w:r>
        <w:rPr>
          <w:color w:val="2C3E50"/>
          <w:sz w:val="22"/>
          <w:szCs w:val="22"/>
          <w:b w:val="1"/>
          <w:bCs w:val="1"/>
        </w:rPr>
        <w:t xml:space="preserve">Who:</w:t>
      </w:r>
      <w:r>
        <w:rPr>
          <w:color w:val="333333"/>
          <w:sz w:val="22"/>
          <w:szCs w:val="22"/>
        </w:rPr>
        <w:t xml:space="preserve">Who:</w:t>
      </w:r>
      <w:r>
        <w:rPr>
          <w:color w:val="333333"/>
          <w:sz w:val="22"/>
          <w:szCs w:val="22"/>
        </w:rPr>
        <w:t xml:space="preserve"> Sales lead + legal advisor (for contracts).</w:t>
      </w:r>
    </w:p>
    <w:p>
      <w:pPr>
        <w:pStyle w:val="Heading3"/>
      </w:pPr>
      <w:bookmarkStart w:id="30" w:name="_Toc30"/>
      <w:r>
        <w:t>Action 4: Activate LinkedIn and Begin Content Marketing</w:t>
      </w:r>
      <w:bookmarkEnd w:id="30"/>
    </w:p>
    <w:p>
      <w:pPr>
        <w:pStyle w:val="Normal"/>
      </w:pPr>
      <w:r>
        <w:rPr>
          <w:color w:val="2C3E50"/>
          <w:sz w:val="22"/>
          <w:szCs w:val="22"/>
          <w:b w:val="1"/>
          <w:bCs w:val="1"/>
        </w:rPr>
        <w:t xml:space="preserve">What:</w:t>
      </w:r>
      <w:r>
        <w:rPr>
          <w:color w:val="333333"/>
          <w:sz w:val="22"/>
          <w:szCs w:val="22"/>
        </w:rPr>
        <w:t xml:space="preserve">What:</w:t>
      </w:r>
      <w:r>
        <w:rPr>
          <w:color w:val="333333"/>
          <w:sz w:val="22"/>
          <w:szCs w:val="22"/>
        </w:rPr>
        <w:t xml:space="preserve"> Set up the Losvinca LinkedIn company page. Optimise the founder/sales lead's personal LinkedIn profile for board governance technology. Publish the first LinkedIn article on governance challenges in Kenya. Begin a posting cadence of 3 posts per week.</w:t>
      </w:r>
    </w:p>
    <w:p>
      <w:pPr>
        <w:pStyle w:val="Normal"/>
      </w:pPr>
      <w:r>
        <w:rPr>
          <w:color w:val="2C3E50"/>
          <w:sz w:val="22"/>
          <w:szCs w:val="22"/>
          <w:b w:val="1"/>
          <w:bCs w:val="1"/>
        </w:rPr>
        <w:t xml:space="preserve">Why:</w:t>
      </w:r>
      <w:r>
        <w:rPr>
          <w:color w:val="333333"/>
          <w:sz w:val="22"/>
          <w:szCs w:val="22"/>
        </w:rPr>
        <w:t xml:space="preserve">Why:</w:t>
      </w:r>
      <w:r>
        <w:rPr>
          <w:color w:val="333333"/>
          <w:sz w:val="22"/>
          <w:szCs w:val="22"/>
        </w:rPr>
        <w:t xml:space="preserve"> LinkedIn is the most effective free channel for reaching Corporation Secretaries, CEOs, and board members in Kenya. A professional LinkedIn presence builds credibility before the first email is sent. Prospects will check your LinkedIn profile before responding to outreach.</w:t>
      </w:r>
    </w:p>
    <w:p>
      <w:pPr>
        <w:pStyle w:val="Normal"/>
      </w:pPr>
      <w:r>
        <w:rPr>
          <w:color w:val="2C3E50"/>
          <w:sz w:val="22"/>
          <w:szCs w:val="22"/>
          <w:b w:val="1"/>
          <w:bCs w:val="1"/>
        </w:rPr>
        <w:t xml:space="preserve">Timeline:</w:t>
      </w:r>
      <w:r>
        <w:rPr>
          <w:color w:val="333333"/>
          <w:sz w:val="22"/>
          <w:szCs w:val="22"/>
        </w:rPr>
        <w:t xml:space="preserve">Timeline:</w:t>
      </w:r>
      <w:r>
        <w:rPr>
          <w:color w:val="333333"/>
          <w:sz w:val="22"/>
          <w:szCs w:val="22"/>
        </w:rPr>
        <w:t xml:space="preserve"> Company page live within 3 days. First article published within 7 days.</w:t>
      </w:r>
    </w:p>
    <w:p>
      <w:pPr>
        <w:pStyle w:val="Normal"/>
      </w:pPr>
      <w:r>
        <w:rPr>
          <w:color w:val="2C3E50"/>
          <w:sz w:val="22"/>
          <w:szCs w:val="22"/>
          <w:b w:val="1"/>
          <w:bCs w:val="1"/>
        </w:rPr>
        <w:t xml:space="preserve">Who:</w:t>
      </w:r>
      <w:r>
        <w:rPr>
          <w:color w:val="333333"/>
          <w:sz w:val="22"/>
          <w:szCs w:val="22"/>
        </w:rPr>
        <w:t xml:space="preserve">Who:</w:t>
      </w:r>
      <w:r>
        <w:rPr>
          <w:color w:val="333333"/>
          <w:sz w:val="22"/>
          <w:szCs w:val="22"/>
        </w:rPr>
        <w:t xml:space="preserve"> Founder / marketing support.</w:t>
      </w:r>
    </w:p>
    <w:p>
      <w:pPr>
        <w:pStyle w:val="Heading3"/>
      </w:pPr>
      <w:bookmarkStart w:id="31" w:name="_Toc31"/>
      <w:r>
        <w:t>Action 5: Secure the First 3 Discovery Meetings</w:t>
      </w:r>
      <w:bookmarkEnd w:id="31"/>
    </w:p>
    <w:p>
      <w:pPr>
        <w:pStyle w:val="Normal"/>
      </w:pPr>
      <w:r>
        <w:rPr>
          <w:color w:val="2C3E50"/>
          <w:sz w:val="22"/>
          <w:szCs w:val="22"/>
          <w:b w:val="1"/>
          <w:bCs w:val="1"/>
        </w:rPr>
        <w:t xml:space="preserve">What:</w:t>
      </w:r>
      <w:r>
        <w:rPr>
          <w:color w:val="333333"/>
          <w:sz w:val="22"/>
          <w:szCs w:val="22"/>
        </w:rPr>
        <w:t xml:space="preserve">What:</w:t>
      </w:r>
      <w:r>
        <w:rPr>
          <w:color w:val="333333"/>
          <w:sz w:val="22"/>
          <w:szCs w:val="22"/>
        </w:rPr>
        <w:t xml:space="preserve"> Using the target list and email templates, initiate outreach to the 10 most promising prospects. Use phone, email, and LinkedIn in combination. The goal is not to sell — it is to schedule 30-minute discovery conversations where you listen to their governance challenges.</w:t>
      </w:r>
    </w:p>
    <w:p>
      <w:pPr>
        <w:pStyle w:val="Normal"/>
      </w:pPr>
      <w:r>
        <w:rPr>
          <w:color w:val="2C3E50"/>
          <w:sz w:val="22"/>
          <w:szCs w:val="22"/>
          <w:b w:val="1"/>
          <w:bCs w:val="1"/>
        </w:rPr>
        <w:t xml:space="preserve">Why:</w:t>
      </w:r>
      <w:r>
        <w:rPr>
          <w:color w:val="333333"/>
          <w:sz w:val="22"/>
          <w:szCs w:val="22"/>
        </w:rPr>
        <w:t xml:space="preserve">Why:</w:t>
      </w:r>
      <w:r>
        <w:rPr>
          <w:color w:val="333333"/>
          <w:sz w:val="22"/>
          <w:szCs w:val="22"/>
        </w:rPr>
        <w:t xml:space="preserve"> Pipeline starts with conversations. The 90-Day Plan targets 3 paying customers, but those customers will come from the first conversations started in Week 1-2. Every day without prospect conversations is a day of delayed revenue.</w:t>
      </w:r>
    </w:p>
    <w:p>
      <w:pPr>
        <w:pStyle w:val="Normal"/>
      </w:pPr>
      <w:r>
        <w:rPr>
          <w:color w:val="2C3E50"/>
          <w:sz w:val="22"/>
          <w:szCs w:val="22"/>
          <w:b w:val="1"/>
          <w:bCs w:val="1"/>
        </w:rPr>
        <w:t xml:space="preserve">Timeline:</w:t>
      </w:r>
      <w:r>
        <w:rPr>
          <w:color w:val="333333"/>
          <w:sz w:val="22"/>
          <w:szCs w:val="22"/>
        </w:rPr>
        <w:t xml:space="preserve">Timeline:</w:t>
      </w:r>
      <w:r>
        <w:rPr>
          <w:color w:val="333333"/>
          <w:sz w:val="22"/>
          <w:szCs w:val="22"/>
        </w:rPr>
        <w:t xml:space="preserve"> First 3 meetings scheduled within 14 business days of outreach launch.</w:t>
      </w:r>
    </w:p>
    <w:p>
      <w:pPr>
        <w:pStyle w:val="Normal"/>
      </w:pPr>
      <w:r>
        <w:rPr>
          <w:color w:val="2C3E50"/>
          <w:sz w:val="22"/>
          <w:szCs w:val="22"/>
          <w:b w:val="1"/>
          <w:bCs w:val="1"/>
        </w:rPr>
        <w:t xml:space="preserve">Who:</w:t>
      </w:r>
      <w:r>
        <w:rPr>
          <w:color w:val="333333"/>
          <w:sz w:val="22"/>
          <w:szCs w:val="22"/>
        </w:rPr>
        <w:t xml:space="preserve">Who:</w:t>
      </w:r>
      <w:r>
        <w:rPr>
          <w:color w:val="333333"/>
          <w:sz w:val="22"/>
          <w:szCs w:val="22"/>
        </w:rPr>
        <w:t xml:space="preserve"> Sales lead / founder.</w:t>
      </w:r>
    </w:p>
    <w:p>
      <w:pPr>
        <w:pStyle w:val="Heading2"/>
      </w:pPr>
      <w:bookmarkStart w:id="32" w:name="_Toc32"/>
      <w:r>
        <w:t>CLOSING STATEMENT</w:t>
      </w:r>
      <w:bookmarkEnd w:id="32"/>
    </w:p>
    <w:p>
      <w:pPr>
        <w:pStyle w:val="Normal"/>
      </w:pPr>
      <w:r>
        <w:rPr>
          <w:color w:val="333333"/>
          <w:sz w:val="22"/>
          <w:szCs w:val="22"/>
        </w:rPr>
        <w:t xml:space="preserve">This Sales Kit provides Losvinca with a comprehensive commercial foundation for taking E-Board to market in Kenya and across Africa. The institutional board governance market is real, the compliance drivers are strong, and the competition is limited.</w:t>
      </w:r>
    </w:p>
    <w:p>
      <w:pPr>
        <w:pStyle w:val="Normal"/>
      </w:pPr>
      <w:r>
        <w:rPr>
          <w:color w:val="333333"/>
          <w:sz w:val="22"/>
          <w:szCs w:val="22"/>
        </w:rPr>
        <w:t xml:space="preserve">E-Board is a capable, purpose-built platform with genuine differentiators: a complete 10-stage meeting lifecycle, built-in compliance features, full white-label branding, and a deployment model that suits both cloud and self-hosted requirements. These are not aspirational features — they are built, tested, and operational.</w:t>
      </w:r>
    </w:p>
    <w:p>
      <w:pPr>
        <w:pStyle w:val="Normal"/>
      </w:pPr>
      <w:r>
        <w:rPr>
          <w:color w:val="333333"/>
          <w:sz w:val="22"/>
          <w:szCs w:val="22"/>
        </w:rPr>
        <w:t xml:space="preserve">The path from here to revenue is not complicated, but it requires disciplined execution:</w:t>
      </w:r>
    </w:p>
    <w:p>
      <w:pPr>
        <w:pStyle w:val="ListBullet"/>
        <w:numPr>
          <w:ilvl w:val="0"/>
          <w:numId w:val="9"/>
        </w:numPr>
      </w:pPr>
      <w:r>
        <w:rPr>
          <w:color w:val="333333"/>
          <w:sz w:val="22"/>
          <w:szCs w:val="22"/>
        </w:rPr>
        <w:t xml:space="preserve">Get the demo environment ready</w:t>
      </w:r>
    </w:p>
    <w:p>
      <w:pPr>
        <w:pStyle w:val="ListBullet"/>
        <w:numPr>
          <w:ilvl w:val="0"/>
          <w:numId w:val="9"/>
        </w:numPr>
      </w:pPr>
      <w:r>
        <w:rPr>
          <w:color w:val="333333"/>
          <w:sz w:val="22"/>
          <w:szCs w:val="22"/>
        </w:rPr>
        <w:t xml:space="preserve">Build the prospect list</w:t>
      </w:r>
    </w:p>
    <w:p>
      <w:pPr>
        <w:pStyle w:val="ListBullet"/>
        <w:numPr>
          <w:ilvl w:val="0"/>
          <w:numId w:val="9"/>
        </w:numPr>
      </w:pPr>
      <w:r>
        <w:rPr>
          <w:color w:val="333333"/>
          <w:sz w:val="22"/>
          <w:szCs w:val="22"/>
        </w:rPr>
        <w:t xml:space="preserve">Start conversations</w:t>
      </w:r>
    </w:p>
    <w:p>
      <w:pPr>
        <w:pStyle w:val="ListBullet"/>
        <w:numPr>
          <w:ilvl w:val="0"/>
          <w:numId w:val="9"/>
        </w:numPr>
      </w:pPr>
      <w:r>
        <w:rPr>
          <w:color w:val="333333"/>
          <w:sz w:val="22"/>
          <w:szCs w:val="22"/>
        </w:rPr>
        <w:t xml:space="preserve">Deliver compelling demonstrations</w:t>
      </w:r>
    </w:p>
    <w:p>
      <w:pPr>
        <w:pStyle w:val="ListBullet"/>
        <w:numPr>
          <w:ilvl w:val="0"/>
          <w:numId w:val="9"/>
        </w:numPr>
      </w:pPr>
      <w:r>
        <w:rPr>
          <w:color w:val="333333"/>
          <w:sz w:val="22"/>
          <w:szCs w:val="22"/>
        </w:rPr>
        <w:t xml:space="preserve">Convert through supported pilots</w:t>
      </w:r>
    </w:p>
    <w:p>
      <w:pPr>
        <w:pStyle w:val="Normal"/>
      </w:pPr>
      <w:r>
        <w:rPr>
          <w:color w:val="333333"/>
          <w:sz w:val="22"/>
          <w:szCs w:val="22"/>
        </w:rPr>
        <w:t xml:space="preserve">The organisations that will buy E-Board are already managing their boards manually, already struggling with compliance, and already looking for solutions. Losvinca's task is to find them, show them E-Board, and prove it works.</w:t>
      </w:r>
    </w:p>
    <w:p>
      <w:pPr>
        <w:pStyle w:val="Normal"/>
      </w:pPr>
      <w:r>
        <w:rPr>
          <w:color w:val="333333"/>
          <w:sz w:val="22"/>
          <w:szCs w:val="22"/>
        </w:rPr>
        <w:t xml:space="preserve">This Sales Kit has provided the strategy, the messaging, the templates, the pricing framework, the objection responses, the compliance mapping, the competitive positioning, the sales funnel, the KPIs, and the 90-day plan. What remains is execution.</w:t>
      </w:r>
    </w:p>
    <w:p>
      <w:pPr>
        <w:pStyle w:val="Normal"/>
      </w:pPr>
      <w:r>
        <w:rPr>
          <w:color w:val="2C3E50"/>
          <w:sz w:val="22"/>
          <w:szCs w:val="22"/>
          <w:b w:val="1"/>
          <w:bCs w:val="1"/>
        </w:rPr>
        <w:t xml:space="preserve">Document Status:</w:t>
      </w:r>
      <w:r>
        <w:rPr>
          <w:color w:val="333333"/>
          <w:sz w:val="22"/>
          <w:szCs w:val="22"/>
        </w:rPr>
        <w:t xml:space="preserve">Document Status:</w:t>
      </w:r>
      <w:r>
        <w:rPr>
          <w:color w:val="333333"/>
          <w:sz w:val="22"/>
          <w:szCs w:val="22"/>
        </w:rPr>
        <w:t xml:space="preserve"> </w:t>
      </w:r>
      <w:r>
        <w:rPr>
          <w:color w:val="FFFFFF"/>
          <w:sz w:val="16"/>
          <w:szCs w:val="16"/>
          <w:b w:val="1"/>
          <w:bCs w:val="1"/>
          <w:shd w:val="clear" w:fill="27AE60"/>
        </w:rPr>
        <w:t xml:space="preserve"> READY TO USE </w:t>
      </w:r>
    </w:p>
    <w:p>
      <w:pPr>
        <w:pStyle w:val="Normal"/>
      </w:pPr>
      <w:r>
        <w:rPr>
          <w:color w:val="2C3E50"/>
          <w:sz w:val="22"/>
          <w:szCs w:val="22"/>
          <w:b w:val="1"/>
          <w:bCs w:val="1"/>
        </w:rPr>
        <w:t xml:space="preserve">This document serves as the executive summary and action plan for the entire Losvinca E-Board Sales Kit (Parts 1-26).</w:t>
      </w:r>
      <w:r>
        <w:rPr>
          <w:color w:val="333333"/>
          <w:sz w:val="22"/>
          <w:szCs w:val="22"/>
        </w:rPr>
        <w:t xml:space="preserve">This document serves as the executive summary and action plan for the entire Losvinca E-Board Sales Kit (Parts 1-26).</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272308D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CCFCED4C"/>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