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 Catalogue</w:t>
      </w:r>
    </w:p>
    <w:p>
      <w:r>
        <w:rPr>
          <w:sz w:val="18"/>
        </w:rPr>
        <w:t>READY_FOR_REVIEW — unexecuted review copy</w:t>
      </w:r>
    </w:p>
    <w:p>
      <w:pPr>
        <w:pStyle w:val="Heading2"/>
      </w:pPr>
      <w:r>
        <w:t>Working positioning</w:t>
      </w:r>
    </w:p>
    <w:p>
      <w:r>
        <w:t>Positioning: Proposed: considered workflow tools for small design teams. Audience: Independent design studios and their project leads. Attributes: Precise, calm, useful. Proposed statements remain proposals until the owner adopts them.</w:t>
      </w:r>
    </w:p>
    <w:p>
      <w:pPr>
        <w:pStyle w:val="Heading2"/>
      </w:pPr>
      <w:r>
        <w:t>Brand name and legal name</w:t>
      </w:r>
    </w:p>
    <w:p>
      <w:r>
        <w:t>Use Aster Works for product identification. Use Aster Works Ltd where the issuing legal party matters. Do not abbreviate legal names in execution or invoice fields.</w:t>
      </w:r>
    </w:p>
    <w:p>
      <w:pPr>
        <w:pStyle w:val="Heading2"/>
      </w:pPr>
      <w:r>
        <w:t>Voice examples</w:t>
      </w:r>
    </w:p>
    <w:p>
      <w:r>
        <w:t>Prefer specific evidence: "Your request is recorded; here is the next step." Avoid unproved absolutes such as "fully compliant" or "guaranteed secure". Owner-selected tone: Clear, measured and direct.</w:t>
      </w:r>
    </w:p>
    <w:p>
      <w:pPr>
        <w:pStyle w:val="Heading2"/>
      </w:pPr>
      <w:r>
        <w:t>Clear space</w:t>
      </w:r>
    </w:p>
    <w:p>
      <w:r>
        <w:t>Derive clear space from the actual mark: One height of the central square module on each side. Keep unrelated text outside this zone. The diagram illustrates the chosen rule rather than a universal logo formula.</w:t>
      </w:r>
    </w:p>
    <w:p>
      <w:pPr>
        <w:pStyle w:val="Heading2"/>
      </w:pPr>
      <w:r>
        <w:t>Release sizes</w:t>
      </w:r>
    </w:p>
    <w:p>
      <w:r>
        <w:t>Minimum sizes require review of the supplied artwork at intended use sizes. Compare 16, 24, 32 and 64 px and the 12, 20 and 30 mm ladder; record the smallest legible use after inspection.</w:t>
      </w:r>
    </w:p>
    <w:p>
      <w:pPr>
        <w:pStyle w:val="Heading2"/>
      </w:pPr>
      <w:r>
        <w:t>Print and contrast</w:t>
      </w:r>
    </w:p>
    <w:p>
      <w:r>
        <w:t>HEX values are screen specifications. Proposed process-print conversions need a printer proof; no exact Pantone match or certified CMYK conversion is claimed. Text contrast is calculated separately from logo aesthetics.</w:t>
      </w:r>
    </w:p>
    <w:p>
      <w:pPr>
        <w:pStyle w:val="Heading2"/>
      </w:pPr>
      <w:r>
        <w:t>Office and email type</w:t>
      </w:r>
    </w:p>
    <w:p>
      <w:r>
        <w:t>Use the available document font with Arial, Helvetica or Liberation Sans fallbacks. Email uses conservative system sans fonts. No font files are bundled; substitutions are recorded in build information.</w:t>
      </w:r>
    </w:p>
    <w:p>
      <w:pPr>
        <w:pStyle w:val="Heading2"/>
      </w:pPr>
      <w:r>
        <w:t>Typesetting rules</w:t>
      </w:r>
    </w:p>
    <w:p>
      <w:r>
        <w:t>Body text is 11 pt with measured spacing; footer text is 9 pt. Headings stay with the following paragraph. Avoid ornamental watermarks and crowded signature areas.</w:t>
      </w:r>
    </w:p>
    <w:p>
      <w:pPr>
        <w:pStyle w:val="Heading2"/>
      </w:pPr>
      <w:r>
        <w:t>Editorial details</w:t>
      </w:r>
    </w:p>
    <w:p>
      <w:r>
        <w:t>Use consistent dates, references and sentence case. Keep currency and entity names explicit. Use descriptive links, alt text and neutral language for disputes.</w:t>
      </w:r>
    </w:p>
    <w:p>
      <w:pPr>
        <w:pStyle w:val="Heading2"/>
      </w:pPr>
      <w:r>
        <w:t>Keep the page useful</w:t>
      </w:r>
    </w:p>
    <w:p>
      <w:r>
        <w:t>Page anatomy uses 22 mm margins, a reserved header and footer and restrained logo size. Long addresses wrap. Tables repeat header rows; continuation branding remains quiet.</w:t>
      </w:r>
    </w:p>
    <w:p>
      <w:pPr>
        <w:pStyle w:val="Heading2"/>
      </w:pPr>
      <w:r>
        <w:t>Recommended production choice</w:t>
      </w:r>
    </w:p>
    <w:p>
      <w:r>
        <w:t>Prefer native editable Word on blank A4 or Letter stock. Paper choice is independent of jurisdiction. Physical output and printer scaling require a separate proof.</w:t>
      </w:r>
    </w:p>
    <w:p>
      <w:pPr>
        <w:pStyle w:val="Heading2"/>
      </w:pPr>
      <w:r>
        <w:t>Email letterhead</w:t>
      </w:r>
    </w:p>
    <w:p>
      <w:r>
        <w:t>Email is a separate medium: a fluid presentation table, inline styles and live text branding. The print reference is not the sending template.</w:t>
      </w:r>
    </w:p>
    <w:p>
      <w:pPr>
        <w:pStyle w:val="Heading2"/>
      </w:pPr>
      <w:r>
        <w:t>Image strategy</w:t>
      </w:r>
    </w:p>
    <w:p>
      <w:r>
        <w:t>The image-free version remains readable. CID artwork requires an actual matching MIME attachment. No invented hosted asset URLs, tracking pixels or base64/SVG reliance in sending HTML.</w:t>
      </w:r>
    </w:p>
    <w:p>
      <w:pPr>
        <w:pStyle w:val="Heading2"/>
      </w:pPr>
      <w:r>
        <w:t>Signature</w:t>
      </w:r>
    </w:p>
    <w:p>
      <w:r>
        <w:t>A signature identifies the selected sender, role and approved contacts. It is not a handwritten signature or evidence of signing authority.</w:t>
      </w:r>
    </w:p>
    <w:p>
      <w:pPr>
        <w:pStyle w:val="Heading2"/>
      </w:pPr>
      <w:r>
        <w:t>Imagery and iconography</w:t>
      </w:r>
    </w:p>
    <w:p>
      <w:r>
        <w:t>Use source-provenance artwork with informative captions. Product icons do not imply a marketing logo master. Do not borrow third-party trademark specimens.</w:t>
      </w:r>
    </w:p>
    <w:p>
      <w:pPr>
        <w:pStyle w:val="Heading2"/>
      </w:pPr>
      <w:r>
        <w:t>Motion and sub-brands</w:t>
      </w:r>
    </w:p>
    <w:p>
      <w:r>
        <w:t>No motion or sub-brand system is invented for stationery. Where a real sub-brand exists, document its hierarchy and keep independent entities distinct.</w:t>
      </w:r>
    </w:p>
    <w:p>
      <w:pPr>
        <w:pStyle w:val="Heading2"/>
      </w:pPr>
      <w:r>
        <w:t>Production rules</w:t>
      </w:r>
    </w:p>
    <w:p>
      <w:r>
        <w:t>Stamp dimensions are configurable starting points. Outlined lettering and positive orientation are supplied. Supplier minimum lines/gaps, material and ink suitability remain proof gates.</w:t>
      </w:r>
    </w:p>
    <w:p>
      <w:pPr>
        <w:pStyle w:val="Heading2"/>
      </w:pPr>
      <w:r>
        <w:t>Custody and approval</w:t>
      </w:r>
    </w:p>
    <w:p>
      <w:r>
        <w:t>Assign a custodian, record purpose and version, and restrict stamp access. Common-seal requirements require constitution and local-law review.</w:t>
      </w:r>
    </w:p>
    <w:p>
      <w:pPr>
        <w:pStyle w:val="Heading2"/>
      </w:pPr>
      <w:r>
        <w:t>Asset structure</w:t>
      </w:r>
    </w:p>
    <w:p>
      <w:r>
        <w:t>Originals are hashed and retained separately from derivatives. Each recolour, crop or rasterization is labelled; reconstructed artwork never becomes an approved original by rendering.</w:t>
      </w:r>
    </w:p>
    <w:p>
      <w:pPr>
        <w:pStyle w:val="Heading2"/>
      </w:pPr>
      <w:r>
        <w:t>Quality checks</w:t>
      </w:r>
    </w:p>
    <w:p>
      <w:r>
        <w:t>Check small size, one-colour, reversed, grayscale and intended print use. Review every Word-derived page and browser print; structural checks alone are insufficient.</w:t>
      </w:r>
    </w:p>
    <w:p>
      <w:pPr>
        <w:pStyle w:val="Heading2"/>
      </w:pPr>
      <w:r>
        <w:t>Source and ownership notes</w:t>
      </w:r>
    </w:p>
    <w:p>
      <w:r>
        <w:t>Input asset rights stay with their owners. This package grants no trademark clearance, press approval or legal certification. Keep approval evidence separate from technical QA.</w:t>
      </w:r>
    </w:p>
    <w:p>
      <w:r>
        <w:br w:type="page"/>
      </w:r>
    </w:p>
    <w:p>
      <w:pPr>
        <w:pStyle w:val="Heading2"/>
      </w:pPr>
      <w:r>
        <w:t>Logo family and clear-space specimen</w:t>
      </w:r>
    </w:p>
    <w:p>
      <w:r>
        <w:drawing>
          <wp:inline xmlns:a="http://schemas.openxmlformats.org/drawingml/2006/main" xmlns:pic="http://schemas.openxmlformats.org/drawingml/2006/picture">
            <wp:extent cx="5580000" cy="4998600"/>
            <wp:docPr id="1" name="Picture 1" descr="Logo family and clear-space specim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tes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9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Logo family and clear-space specimen</w:t>
      </w:r>
    </w:p>
    <w:p>
      <w:r>
        <w:br w:type="page"/>
      </w:r>
    </w:p>
    <w:p>
      <w:pPr>
        <w:pStyle w:val="Heading2"/>
      </w:pPr>
      <w:r>
        <w:t>Palette and type specimen</w:t>
      </w:r>
    </w:p>
    <w:p>
      <w:r>
        <w:drawing>
          <wp:inline xmlns:a="http://schemas.openxmlformats.org/drawingml/2006/main" xmlns:pic="http://schemas.openxmlformats.org/drawingml/2006/picture">
            <wp:extent cx="5580000" cy="4998600"/>
            <wp:docPr id="2" name="Picture 2" descr="Palette and type specim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-specim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9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Palette and type specimen</w:t>
      </w:r>
    </w:p>
    <w:p>
      <w:r>
        <w:br w:type="page"/>
      </w:r>
    </w:p>
    <w:p>
      <w:pPr>
        <w:pStyle w:val="Heading2"/>
      </w:pPr>
      <w:r>
        <w:t>Page anatomy</w:t>
      </w:r>
    </w:p>
    <w:p>
      <w:r>
        <w:drawing>
          <wp:inline xmlns:a="http://schemas.openxmlformats.org/drawingml/2006/main" xmlns:pic="http://schemas.openxmlformats.org/drawingml/2006/picture">
            <wp:extent cx="3960000" cy="3547440"/>
            <wp:docPr id="3" name="Picture 3" descr="Page anatom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anatom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54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Page anatomy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98" w:right="1247" w:bottom="164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sz w:val="18"/>
      </w:rPr>
      <w:t xml:space="preserve">Aster Works Ltd | 12 Example Walk, Sample City, EX 1000 | hello@example.invalid | G01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828000" cy="248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prima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8000" cy="248400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b/>
        <w:sz w:val="28"/>
      </w:rPr>
      <w:t>Aster Works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40"/>
    </w:pPr>
    <w:rPr>
      <w:rFonts w:ascii="Arial" w:hAnsi="Arial"/>
      <w:color w:val="172B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586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58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586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 Catalogue</dc:title>
  <dc:subject>G01 READY_FOR_REVIEW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