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ABC1D" w14:textId="235B4253" w:rsidR="000E4756" w:rsidRPr="0011362E" w:rsidRDefault="00FA5B9B" w:rsidP="0011362E">
      <w:pPr>
        <w:jc w:val="center"/>
        <w:rPr>
          <w:b/>
          <w:bCs/>
          <w:color w:val="215E99" w:themeColor="text2" w:themeTint="BF"/>
          <w:sz w:val="40"/>
          <w:szCs w:val="40"/>
        </w:rPr>
      </w:pPr>
      <w:r w:rsidRPr="0011362E">
        <w:rPr>
          <w:b/>
          <w:bCs/>
          <w:color w:val="215E99" w:themeColor="text2" w:themeTint="BF"/>
          <w:sz w:val="40"/>
          <w:szCs w:val="40"/>
        </w:rPr>
        <w:t>Summary and Key Analysis</w:t>
      </w:r>
    </w:p>
    <w:p w14:paraId="034490A2" w14:textId="77777777" w:rsidR="00FA5B9B" w:rsidRPr="00FA5B9B" w:rsidRDefault="00FA5B9B" w:rsidP="00FA5B9B">
      <w:pPr>
        <w:rPr>
          <w:b/>
          <w:bCs/>
          <w:sz w:val="28"/>
          <w:szCs w:val="28"/>
          <w:lang w:val="en-PK"/>
        </w:rPr>
      </w:pPr>
      <w:r w:rsidRPr="00FA5B9B">
        <w:rPr>
          <w:b/>
          <w:bCs/>
          <w:sz w:val="28"/>
          <w:szCs w:val="28"/>
          <w:lang w:val="en-PK"/>
        </w:rPr>
        <w:t>Executive Summary</w:t>
      </w:r>
    </w:p>
    <w:p w14:paraId="786D5770" w14:textId="77777777" w:rsidR="00FA5B9B" w:rsidRPr="00FA5B9B" w:rsidRDefault="00FA5B9B" w:rsidP="00FA5B9B">
      <w:pPr>
        <w:rPr>
          <w:lang w:val="en-PK"/>
        </w:rPr>
      </w:pPr>
      <w:r w:rsidRPr="00FA5B9B">
        <w:rPr>
          <w:lang w:val="en-PK"/>
        </w:rPr>
        <w:t xml:space="preserve">This project </w:t>
      </w:r>
      <w:proofErr w:type="spellStart"/>
      <w:r w:rsidRPr="00FA5B9B">
        <w:rPr>
          <w:lang w:val="en-PK"/>
        </w:rPr>
        <w:t>analyzes</w:t>
      </w:r>
      <w:proofErr w:type="spellEnd"/>
      <w:r w:rsidRPr="00FA5B9B">
        <w:rPr>
          <w:lang w:val="en-PK"/>
        </w:rPr>
        <w:t xml:space="preserve"> customer churn </w:t>
      </w:r>
      <w:proofErr w:type="spellStart"/>
      <w:r w:rsidRPr="00FA5B9B">
        <w:rPr>
          <w:lang w:val="en-PK"/>
        </w:rPr>
        <w:t>behavior</w:t>
      </w:r>
      <w:proofErr w:type="spellEnd"/>
      <w:r w:rsidRPr="00FA5B9B">
        <w:rPr>
          <w:lang w:val="en-PK"/>
        </w:rPr>
        <w:t xml:space="preserve"> using exploratory data analysis to understand why customers leave a telecom service. The dataset shows that </w:t>
      </w:r>
      <w:r w:rsidRPr="00FA5B9B">
        <w:rPr>
          <w:b/>
          <w:bCs/>
          <w:lang w:val="en-PK"/>
        </w:rPr>
        <w:t>26.54% of customers have churned</w:t>
      </w:r>
      <w:r w:rsidRPr="00FA5B9B">
        <w:rPr>
          <w:lang w:val="en-PK"/>
        </w:rPr>
        <w:t>, which highlights a clear retention challenge. The analysis focuses on customer demographics, tenure, service usage, contract types, and payment methods.</w:t>
      </w:r>
    </w:p>
    <w:p w14:paraId="15C05390" w14:textId="77777777" w:rsidR="00FA5B9B" w:rsidRPr="00FA5B9B" w:rsidRDefault="00FA5B9B" w:rsidP="00FA5B9B">
      <w:pPr>
        <w:rPr>
          <w:lang w:val="en-PK"/>
        </w:rPr>
      </w:pPr>
      <w:r w:rsidRPr="00FA5B9B">
        <w:rPr>
          <w:lang w:val="en-PK"/>
        </w:rPr>
        <w:t xml:space="preserve">The findings show that churn is </w:t>
      </w:r>
      <w:r w:rsidRPr="00FA5B9B">
        <w:rPr>
          <w:b/>
          <w:bCs/>
          <w:lang w:val="en-PK"/>
        </w:rPr>
        <w:t>not influenced by gender</w:t>
      </w:r>
      <w:r w:rsidRPr="00FA5B9B">
        <w:rPr>
          <w:lang w:val="en-PK"/>
        </w:rPr>
        <w:t xml:space="preserve">, but it is strongly linked to </w:t>
      </w:r>
      <w:r w:rsidRPr="00FA5B9B">
        <w:rPr>
          <w:b/>
          <w:bCs/>
          <w:lang w:val="en-PK"/>
        </w:rPr>
        <w:t>senior citizen status, short tenure, contract type, internet services, and payment methods</w:t>
      </w:r>
      <w:r w:rsidRPr="00FA5B9B">
        <w:rPr>
          <w:lang w:val="en-PK"/>
        </w:rPr>
        <w:t>. Customers who stay longer, use support services, and are on long-term contracts are more likely to remain loyal. These insights help identify high-risk customer segments and areas where service and pricing strategies can be improved.</w:t>
      </w:r>
    </w:p>
    <w:p w14:paraId="0F40F682" w14:textId="77777777" w:rsidR="00FA5B9B" w:rsidRPr="0011362E" w:rsidRDefault="00FA5B9B">
      <w:pPr>
        <w:rPr>
          <w:sz w:val="28"/>
          <w:szCs w:val="28"/>
        </w:rPr>
      </w:pPr>
    </w:p>
    <w:p w14:paraId="4DB90AD5" w14:textId="77777777" w:rsidR="00FA5B9B" w:rsidRPr="00FA5B9B" w:rsidRDefault="00FA5B9B" w:rsidP="00FA5B9B">
      <w:pPr>
        <w:rPr>
          <w:b/>
          <w:bCs/>
          <w:sz w:val="28"/>
          <w:szCs w:val="28"/>
          <w:lang w:val="en-PK"/>
        </w:rPr>
      </w:pPr>
      <w:r w:rsidRPr="00FA5B9B">
        <w:rPr>
          <w:b/>
          <w:bCs/>
          <w:sz w:val="28"/>
          <w:szCs w:val="28"/>
          <w:lang w:val="en-PK"/>
        </w:rPr>
        <w:t>Key Analysis Summary</w:t>
      </w:r>
    </w:p>
    <w:p w14:paraId="4EE1700F" w14:textId="77777777" w:rsidR="00FA5B9B" w:rsidRDefault="00FA5B9B" w:rsidP="00FA5B9B">
      <w:pPr>
        <w:numPr>
          <w:ilvl w:val="0"/>
          <w:numId w:val="1"/>
        </w:numPr>
        <w:rPr>
          <w:lang w:val="en-PK"/>
        </w:rPr>
      </w:pPr>
      <w:r w:rsidRPr="00FA5B9B">
        <w:rPr>
          <w:b/>
          <w:bCs/>
          <w:lang w:val="en-PK"/>
        </w:rPr>
        <w:t>Overall Churn Rate:</w:t>
      </w:r>
      <w:r w:rsidRPr="00FA5B9B">
        <w:rPr>
          <w:lang w:val="en-PK"/>
        </w:rPr>
        <w:br/>
        <w:t>26.54% of customers have churned, indicating a significant customer retention gap.</w:t>
      </w:r>
    </w:p>
    <w:p w14:paraId="0F5A9348" w14:textId="459A2338" w:rsidR="00FA5B9B" w:rsidRPr="00FA5B9B" w:rsidRDefault="00FA5B9B" w:rsidP="00FA5B9B">
      <w:pPr>
        <w:ind w:left="720"/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4545E24D" wp14:editId="059FF0C3">
            <wp:extent cx="2958860" cy="1966702"/>
            <wp:effectExtent l="0" t="0" r="0" b="0"/>
            <wp:docPr id="2" name="Picture 2" descr="A blue and orange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and orange pie cha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660" cy="196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D1C1" w14:textId="77777777" w:rsidR="00FA5B9B" w:rsidRDefault="00FA5B9B" w:rsidP="00FA5B9B">
      <w:pPr>
        <w:numPr>
          <w:ilvl w:val="0"/>
          <w:numId w:val="1"/>
        </w:numPr>
        <w:rPr>
          <w:lang w:val="en-PK"/>
        </w:rPr>
      </w:pPr>
      <w:r w:rsidRPr="00FA5B9B">
        <w:rPr>
          <w:b/>
          <w:bCs/>
          <w:lang w:val="en-PK"/>
        </w:rPr>
        <w:t>Gender Impact:</w:t>
      </w:r>
      <w:r w:rsidRPr="00FA5B9B">
        <w:rPr>
          <w:lang w:val="en-PK"/>
        </w:rPr>
        <w:br/>
        <w:t>Churn is evenly distributed across genders, showing that gender is not a deciding factor.</w:t>
      </w:r>
    </w:p>
    <w:p w14:paraId="0842EC3F" w14:textId="1E6FC038" w:rsidR="00FA5B9B" w:rsidRPr="00FA5B9B" w:rsidRDefault="00FA5B9B" w:rsidP="00FA5B9B">
      <w:pPr>
        <w:ind w:left="720"/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402DD918" wp14:editId="055D8AA7">
            <wp:extent cx="2958860" cy="1958040"/>
            <wp:effectExtent l="0" t="0" r="0" b="4445"/>
            <wp:docPr id="3" name="Picture 3" descr="A graph of a person and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a person and pers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898" cy="196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BEF1" w14:textId="77777777" w:rsidR="00FA5B9B" w:rsidRDefault="00FA5B9B" w:rsidP="00FA5B9B">
      <w:pPr>
        <w:numPr>
          <w:ilvl w:val="0"/>
          <w:numId w:val="1"/>
        </w:numPr>
        <w:rPr>
          <w:lang w:val="en-PK"/>
        </w:rPr>
      </w:pPr>
      <w:r w:rsidRPr="00FA5B9B">
        <w:rPr>
          <w:b/>
          <w:bCs/>
          <w:lang w:val="en-PK"/>
        </w:rPr>
        <w:lastRenderedPageBreak/>
        <w:t>Senior Citizens:</w:t>
      </w:r>
      <w:r w:rsidRPr="00FA5B9B">
        <w:rPr>
          <w:lang w:val="en-PK"/>
        </w:rPr>
        <w:br/>
        <w:t>Although senior citizens represent a smaller portion of customers, a higher percentage of them churn compared to non-senior customers.</w:t>
      </w:r>
    </w:p>
    <w:p w14:paraId="1B084A97" w14:textId="2CE8D95A" w:rsidR="00FA5B9B" w:rsidRPr="00FA5B9B" w:rsidRDefault="00FA5B9B" w:rsidP="00FA5B9B">
      <w:pPr>
        <w:ind w:left="720"/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7BE72576" wp14:editId="055E1523">
            <wp:extent cx="3623094" cy="21908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604" cy="219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F79F" w14:textId="77777777" w:rsidR="00FA5B9B" w:rsidRDefault="00FA5B9B" w:rsidP="00FA5B9B">
      <w:pPr>
        <w:numPr>
          <w:ilvl w:val="0"/>
          <w:numId w:val="1"/>
        </w:numPr>
        <w:rPr>
          <w:lang w:val="en-PK"/>
        </w:rPr>
      </w:pPr>
      <w:r w:rsidRPr="00FA5B9B">
        <w:rPr>
          <w:b/>
          <w:bCs/>
          <w:lang w:val="en-PK"/>
        </w:rPr>
        <w:t>Tenure Pattern:</w:t>
      </w:r>
      <w:r w:rsidRPr="00FA5B9B">
        <w:rPr>
          <w:lang w:val="en-PK"/>
        </w:rPr>
        <w:br/>
        <w:t xml:space="preserve">Customers with </w:t>
      </w:r>
      <w:r w:rsidRPr="00FA5B9B">
        <w:rPr>
          <w:b/>
          <w:bCs/>
          <w:lang w:val="en-PK"/>
        </w:rPr>
        <w:t>1–2 months of tenure</w:t>
      </w:r>
      <w:r w:rsidRPr="00FA5B9B">
        <w:rPr>
          <w:lang w:val="en-PK"/>
        </w:rPr>
        <w:t xml:space="preserve"> are more likely to churn, while long-term customers show strong retention.</w:t>
      </w:r>
    </w:p>
    <w:p w14:paraId="67A3A726" w14:textId="0E013B95" w:rsidR="00FA5B9B" w:rsidRPr="00FA5B9B" w:rsidRDefault="00FA5B9B" w:rsidP="00FA5B9B">
      <w:pPr>
        <w:ind w:left="720"/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60576A3D" wp14:editId="1E06C91D">
            <wp:extent cx="3959525" cy="1613465"/>
            <wp:effectExtent l="0" t="0" r="3175" b="6350"/>
            <wp:docPr id="5" name="Picture 5" descr="A graph of a number of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of a number of column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733" cy="16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60F6" w14:textId="77777777" w:rsidR="00FA5B9B" w:rsidRDefault="00FA5B9B" w:rsidP="00FA5B9B">
      <w:pPr>
        <w:numPr>
          <w:ilvl w:val="0"/>
          <w:numId w:val="1"/>
        </w:numPr>
        <w:rPr>
          <w:lang w:val="en-PK"/>
        </w:rPr>
      </w:pPr>
      <w:r w:rsidRPr="00FA5B9B">
        <w:rPr>
          <w:b/>
          <w:bCs/>
          <w:lang w:val="en-PK"/>
        </w:rPr>
        <w:t>Contract Type:</w:t>
      </w:r>
      <w:r w:rsidRPr="00FA5B9B">
        <w:rPr>
          <w:lang w:val="en-PK"/>
        </w:rPr>
        <w:br/>
        <w:t xml:space="preserve">Customers on </w:t>
      </w:r>
      <w:r w:rsidRPr="00FA5B9B">
        <w:rPr>
          <w:b/>
          <w:bCs/>
          <w:lang w:val="en-PK"/>
        </w:rPr>
        <w:t>month-to-month contracts</w:t>
      </w:r>
      <w:r w:rsidRPr="00FA5B9B">
        <w:rPr>
          <w:lang w:val="en-PK"/>
        </w:rPr>
        <w:t xml:space="preserve"> churn the most. One-year and two-year contracts show much lower churn rates.</w:t>
      </w:r>
    </w:p>
    <w:p w14:paraId="2DAB290B" w14:textId="2D80F424" w:rsidR="00FA5B9B" w:rsidRPr="00FA5B9B" w:rsidRDefault="00FA5B9B" w:rsidP="00FA5B9B">
      <w:pPr>
        <w:ind w:left="720"/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4722E6F7" wp14:editId="4E43E721">
            <wp:extent cx="3724511" cy="2277374"/>
            <wp:effectExtent l="0" t="0" r="0" b="8890"/>
            <wp:docPr id="6" name="Picture 6" descr="A graph of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of blue and orange ba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354" cy="228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7ACF" w14:textId="77777777" w:rsidR="00FA5B9B" w:rsidRDefault="00FA5B9B" w:rsidP="00FA5B9B">
      <w:pPr>
        <w:numPr>
          <w:ilvl w:val="0"/>
          <w:numId w:val="1"/>
        </w:numPr>
        <w:rPr>
          <w:lang w:val="en-PK"/>
        </w:rPr>
      </w:pPr>
      <w:r w:rsidRPr="00FA5B9B">
        <w:rPr>
          <w:b/>
          <w:bCs/>
          <w:lang w:val="en-PK"/>
        </w:rPr>
        <w:t>Internet &amp; Support Services:</w:t>
      </w:r>
      <w:r w:rsidRPr="00FA5B9B">
        <w:rPr>
          <w:lang w:val="en-PK"/>
        </w:rPr>
        <w:br/>
        <w:t xml:space="preserve">Customers </w:t>
      </w:r>
      <w:r w:rsidRPr="00FA5B9B">
        <w:rPr>
          <w:b/>
          <w:bCs/>
          <w:lang w:val="en-PK"/>
        </w:rPr>
        <w:t xml:space="preserve">without services like Online Security, Tech Support, Backup, and Device </w:t>
      </w:r>
      <w:r w:rsidRPr="00FA5B9B">
        <w:rPr>
          <w:b/>
          <w:bCs/>
          <w:lang w:val="en-PK"/>
        </w:rPr>
        <w:lastRenderedPageBreak/>
        <w:t>Protection</w:t>
      </w:r>
      <w:r w:rsidRPr="00FA5B9B">
        <w:rPr>
          <w:lang w:val="en-PK"/>
        </w:rPr>
        <w:t xml:space="preserve"> are more likely to leave.</w:t>
      </w:r>
      <w:r w:rsidRPr="00FA5B9B">
        <w:rPr>
          <w:lang w:val="en-PK"/>
        </w:rPr>
        <w:br/>
        <w:t>Fiber optic users show higher churn, suggesting possible pricing or service quality concerns.</w:t>
      </w:r>
    </w:p>
    <w:p w14:paraId="6CB3F17B" w14:textId="76CC12E8" w:rsidR="00FA5B9B" w:rsidRPr="00FA5B9B" w:rsidRDefault="0011362E" w:rsidP="00FA5B9B">
      <w:pPr>
        <w:ind w:left="720"/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0DFE34B6" wp14:editId="4218133D">
            <wp:extent cx="3717985" cy="1839220"/>
            <wp:effectExtent l="0" t="0" r="0" b="8890"/>
            <wp:docPr id="7" name="Picture 7" descr="A group of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oup of blue and orange bar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158" cy="18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2EF0" w14:textId="77777777" w:rsidR="00FA5B9B" w:rsidRDefault="00FA5B9B" w:rsidP="00FA5B9B">
      <w:pPr>
        <w:numPr>
          <w:ilvl w:val="0"/>
          <w:numId w:val="1"/>
        </w:numPr>
        <w:rPr>
          <w:lang w:val="en-PK"/>
        </w:rPr>
      </w:pPr>
      <w:r w:rsidRPr="00FA5B9B">
        <w:rPr>
          <w:b/>
          <w:bCs/>
          <w:lang w:val="en-PK"/>
        </w:rPr>
        <w:t>Payment Method:</w:t>
      </w:r>
      <w:r w:rsidRPr="00FA5B9B">
        <w:rPr>
          <w:lang w:val="en-PK"/>
        </w:rPr>
        <w:br/>
        <w:t xml:space="preserve">Customers using </w:t>
      </w:r>
      <w:r w:rsidRPr="00FA5B9B">
        <w:rPr>
          <w:b/>
          <w:bCs/>
          <w:lang w:val="en-PK"/>
        </w:rPr>
        <w:t>electronic checks</w:t>
      </w:r>
      <w:r w:rsidRPr="00FA5B9B">
        <w:rPr>
          <w:lang w:val="en-PK"/>
        </w:rPr>
        <w:t xml:space="preserve"> have the highest churn rate compared to other payment options.</w:t>
      </w:r>
    </w:p>
    <w:p w14:paraId="6A1EF81D" w14:textId="097F45E7" w:rsidR="0011362E" w:rsidRPr="00FA5B9B" w:rsidRDefault="0011362E" w:rsidP="0011362E">
      <w:pPr>
        <w:ind w:left="720"/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72A962D7" wp14:editId="3D0966E2">
            <wp:extent cx="4056418" cy="3528204"/>
            <wp:effectExtent l="0" t="0" r="1270" b="0"/>
            <wp:docPr id="8" name="Picture 8" descr="A graph of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aph of blue and orange ba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846" cy="35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D973" w14:textId="77777777" w:rsidR="00FA5B9B" w:rsidRDefault="00FA5B9B"/>
    <w:sectPr w:rsidR="00FA5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75E54"/>
    <w:multiLevelType w:val="multilevel"/>
    <w:tmpl w:val="0F7C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61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9B"/>
    <w:rsid w:val="000E4756"/>
    <w:rsid w:val="0011362E"/>
    <w:rsid w:val="002D6F00"/>
    <w:rsid w:val="00796878"/>
    <w:rsid w:val="00BF3214"/>
    <w:rsid w:val="00FA5B9B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75DDE"/>
  <w15:chartTrackingRefBased/>
  <w15:docId w15:val="{DC7C73BF-D652-4C3D-A1C2-31E073D00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0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Samman</dc:creator>
  <cp:keywords/>
  <dc:description/>
  <cp:lastModifiedBy>Samman</cp:lastModifiedBy>
  <cp:revision>2</cp:revision>
  <dcterms:created xsi:type="dcterms:W3CDTF">2026-02-26T09:51:00Z</dcterms:created>
  <dcterms:modified xsi:type="dcterms:W3CDTF">2026-02-26T10:05:00Z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53988c25-148d-4903-9ffe-cd6da18e02ed</vt:lpwstr>
  </property>
</Properties>
</file>