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5A44E"/>
        <w:spacing w:before="0" w:after="0"/>
      </w:pPr>
      <w:r>
        <w:rPr>
          <w:b/>
          <w:color w:val="FFFFFF"/>
          <w:sz w:val="17"/>
        </w:rPr>
        <w:t>POLICY DOCUMENT</w:t>
      </w:r>
    </w:p>
    <w:p>
      <w:pPr>
        <w:shd w:val="clear" w:color="auto" w:fill="05A44E"/>
        <w:spacing w:before="0" w:after="240"/>
      </w:pPr>
      <w:r>
        <w:rPr>
          <w:color w:val="FFFFFF"/>
          <w:sz w:val="44"/>
        </w:rPr>
        <w:t>Cat Rescue Euthanasia Policy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6F8EF"/>
          </w:tcPr>
          <w:p>
            <w:pPr>
              <w:spacing w:before="60" w:after="60"/>
            </w:pPr>
            <w:r>
              <w:rPr>
                <w:b/>
                <w:color w:val="037A3A"/>
                <w:sz w:val="19"/>
              </w:rPr>
              <w:t>Policy Number</w:t>
            </w:r>
          </w:p>
        </w:tc>
        <w:tc>
          <w:tcPr>
            <w:tcW w:type="dxa" w:w="2268"/>
            <w:shd w:val="clear" w:color="auto" w:fill="FFFFFF"/>
          </w:tcPr>
          <w:p>
            <w:pPr>
              <w:spacing w:before="60" w:after="60"/>
            </w:pPr>
            <w:r>
              <w:rPr>
                <w:b w:val="0"/>
                <w:color w:val="111827"/>
                <w:sz w:val="19"/>
              </w:rPr>
              <w:t>FF-AC-006</w:t>
            </w:r>
          </w:p>
        </w:tc>
        <w:tc>
          <w:tcPr>
            <w:tcW w:type="dxa" w:w="2268"/>
            <w:shd w:val="clear" w:color="auto" w:fill="E6F8EF"/>
          </w:tcPr>
          <w:p>
            <w:pPr>
              <w:spacing w:before="60" w:after="60"/>
            </w:pPr>
            <w:r>
              <w:rPr>
                <w:b/>
                <w:color w:val="037A3A"/>
                <w:sz w:val="19"/>
              </w:rPr>
              <w:t>Category</w:t>
            </w:r>
          </w:p>
        </w:tc>
        <w:tc>
          <w:tcPr>
            <w:tcW w:type="dxa" w:w="2268"/>
            <w:shd w:val="clear" w:color="auto" w:fill="FFFFFF"/>
          </w:tcPr>
          <w:p>
            <w:pPr>
              <w:spacing w:before="60" w:after="60"/>
            </w:pPr>
            <w:r>
              <w:rPr>
                <w:b w:val="0"/>
                <w:color w:val="111827"/>
                <w:sz w:val="19"/>
              </w:rPr>
              <w:t>Animal Care</w:t>
            </w:r>
          </w:p>
        </w:tc>
      </w:tr>
      <w:tr>
        <w:tc>
          <w:tcPr>
            <w:tcW w:type="dxa" w:w="2268"/>
            <w:shd w:val="clear" w:color="auto" w:fill="C2EDD6"/>
          </w:tcPr>
          <w:p>
            <w:pPr>
              <w:spacing w:before="60" w:after="60"/>
            </w:pPr>
            <w:r>
              <w:rPr>
                <w:b/>
                <w:color w:val="037A3A"/>
                <w:sz w:val="19"/>
              </w:rPr>
              <w:t>Version</w:t>
            </w:r>
          </w:p>
        </w:tc>
        <w:tc>
          <w:tcPr>
            <w:tcW w:type="dxa" w:w="2268"/>
            <w:shd w:val="clear" w:color="auto" w:fill="FFFFFF"/>
          </w:tcPr>
          <w:p>
            <w:pPr>
              <w:spacing w:before="60" w:after="60"/>
            </w:pPr>
            <w:r>
              <w:rPr>
                <w:b w:val="0"/>
                <w:color w:val="111827"/>
                <w:sz w:val="19"/>
              </w:rPr>
              <w:t>1.0</w:t>
            </w:r>
          </w:p>
        </w:tc>
        <w:tc>
          <w:tcPr>
            <w:tcW w:type="dxa" w:w="2268"/>
            <w:shd w:val="clear" w:color="auto" w:fill="C2EDD6"/>
          </w:tcPr>
          <w:p>
            <w:pPr>
              <w:spacing w:before="60" w:after="60"/>
            </w:pPr>
            <w:r>
              <w:rPr>
                <w:b/>
                <w:color w:val="037A3A"/>
                <w:sz w:val="19"/>
              </w:rPr>
              <w:t>Status</w:t>
            </w:r>
          </w:p>
        </w:tc>
        <w:tc>
          <w:tcPr>
            <w:tcW w:type="dxa" w:w="2268"/>
            <w:shd w:val="clear" w:color="auto" w:fill="FFFFFF"/>
          </w:tcPr>
          <w:p>
            <w:pPr>
              <w:spacing w:before="60" w:after="60"/>
            </w:pPr>
            <w:r>
              <w:rPr>
                <w:b w:val="0"/>
                <w:color w:val="111827"/>
                <w:sz w:val="19"/>
              </w:rPr>
              <w:t>Active</w:t>
            </w:r>
          </w:p>
        </w:tc>
      </w:tr>
      <w:tr>
        <w:tc>
          <w:tcPr>
            <w:tcW w:type="dxa" w:w="2268"/>
            <w:shd w:val="clear" w:color="auto" w:fill="E6F8EF"/>
          </w:tcPr>
          <w:p>
            <w:pPr>
              <w:spacing w:before="60" w:after="60"/>
            </w:pPr>
            <w:r>
              <w:rPr>
                <w:b/>
                <w:color w:val="037A3A"/>
                <w:sz w:val="19"/>
              </w:rPr>
              <w:t>Date Adopted</w:t>
            </w:r>
          </w:p>
        </w:tc>
        <w:tc>
          <w:tcPr>
            <w:tcW w:type="dxa" w:w="2268"/>
            <w:shd w:val="clear" w:color="auto" w:fill="FFFFFF"/>
          </w:tcPr>
          <w:p>
            <w:pPr>
              <w:spacing w:before="60" w:after="60"/>
            </w:pPr>
            <w:r>
              <w:rPr>
                <w:b w:val="0"/>
                <w:color w:val="111827"/>
                <w:sz w:val="19"/>
              </w:rPr>
              <w:t>[DD Month YYYY]</w:t>
            </w:r>
          </w:p>
        </w:tc>
        <w:tc>
          <w:tcPr>
            <w:tcW w:type="dxa" w:w="2268"/>
            <w:shd w:val="clear" w:color="auto" w:fill="E6F8EF"/>
          </w:tcPr>
          <w:p>
            <w:pPr>
              <w:spacing w:before="60" w:after="60"/>
            </w:pPr>
            <w:r>
              <w:rPr>
                <w:b/>
                <w:color w:val="037A3A"/>
                <w:sz w:val="19"/>
              </w:rPr>
              <w:t>Next Review Date</w:t>
            </w:r>
          </w:p>
        </w:tc>
        <w:tc>
          <w:tcPr>
            <w:tcW w:type="dxa" w:w="2268"/>
            <w:shd w:val="clear" w:color="auto" w:fill="FFFFFF"/>
          </w:tcPr>
          <w:p>
            <w:pPr>
              <w:spacing w:before="60" w:after="60"/>
            </w:pPr>
            <w:r>
              <w:rPr>
                <w:b w:val="0"/>
                <w:color w:val="111827"/>
                <w:sz w:val="19"/>
              </w:rPr>
              <w:t>Annually</w:t>
            </w:r>
          </w:p>
        </w:tc>
      </w:tr>
      <w:tr>
        <w:tc>
          <w:tcPr>
            <w:tcW w:type="dxa" w:w="2268"/>
            <w:shd w:val="clear" w:color="auto" w:fill="C2EDD6"/>
          </w:tcPr>
          <w:p>
            <w:pPr>
              <w:spacing w:before="60" w:after="60"/>
            </w:pPr>
            <w:r>
              <w:rPr>
                <w:b/>
                <w:color w:val="037A3A"/>
                <w:sz w:val="19"/>
              </w:rPr>
              <w:t>Approved By</w:t>
            </w:r>
          </w:p>
        </w:tc>
        <w:tc>
          <w:tcPr>
            <w:tcW w:type="dxa" w:w="2268"/>
            <w:shd w:val="clear" w:color="auto" w:fill="FFFFFF"/>
          </w:tcPr>
          <w:p>
            <w:pPr>
              <w:spacing w:before="60" w:after="60"/>
            </w:pPr>
            <w:r>
              <w:rPr>
                <w:b w:val="0"/>
                <w:color w:val="111827"/>
                <w:sz w:val="19"/>
              </w:rPr>
              <w:t>Trustees</w:t>
            </w:r>
          </w:p>
        </w:tc>
        <w:tc>
          <w:tcPr>
            <w:tcW w:type="dxa" w:w="2268"/>
            <w:shd w:val="clear" w:color="auto" w:fill="C2EDD6"/>
          </w:tcPr>
          <w:p>
            <w:pPr>
              <w:spacing w:before="60" w:after="60"/>
            </w:pPr>
            <w:r>
              <w:rPr>
                <w:b/>
                <w:color w:val="037A3A"/>
                <w:sz w:val="19"/>
              </w:rPr>
              <w:t>Applies To</w:t>
            </w:r>
          </w:p>
        </w:tc>
        <w:tc>
          <w:tcPr>
            <w:tcW w:type="dxa" w:w="2268"/>
            <w:shd w:val="clear" w:color="auto" w:fill="FFFFFF"/>
          </w:tcPr>
          <w:p>
            <w:pPr>
              <w:spacing w:before="60" w:after="60"/>
            </w:pPr>
            <w:r>
              <w:rPr>
                <w:b w:val="0"/>
                <w:color w:val="111827"/>
                <w:sz w:val="19"/>
              </w:rPr>
              <w:t>All Volunteers &amp; Trustees</w:t>
            </w:r>
          </w:p>
        </w:tc>
      </w:tr>
    </w:tbl>
    <w:p/>
    <w:p>
      <w:pPr>
        <w:spacing w:before="280" w:after="120"/>
        <w:pBdr>
          <w:bottom w:val="single" w:sz="6" w:space="2" w:color="C2EDD6"/>
        </w:pBdr>
      </w:pPr>
      <w:r>
        <w:rPr>
          <w:b/>
          <w:color w:val="FFFFFF"/>
          <w:sz w:val="20"/>
          <w:shd w:val="clear" w:color="auto" w:fill="05A44E"/>
        </w:rPr>
        <w:t xml:space="preserve"> 1 </w:t>
      </w:r>
      <w:r>
        <w:t xml:space="preserve">  </w:t>
      </w:r>
      <w:r>
        <w:rPr>
          <w:b/>
          <w:color w:val="037A3A"/>
          <w:sz w:val="26"/>
        </w:rPr>
        <w:t>Purpose</w:t>
      </w:r>
    </w:p>
    <w:p>
      <w:pPr>
        <w:spacing w:before="0" w:after="120"/>
      </w:pPr>
      <w:r>
        <w:rPr>
          <w:sz w:val="22"/>
        </w:rPr>
        <w:t>This policy establishes clear, humane, and ethical guidelines for the use of euthanasia within Forgotten Felines Cat Rescue. It ensures that all decisions prioritise the welfare and dignity of cats in our care and are made consistently, transparently, and in accordance with veterinary guidance and UK animal welfare standards.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2 </w:t>
      </w:r>
      <w:r>
        <w:t xml:space="preserve">  </w:t>
      </w:r>
      <w:r>
        <w:rPr>
          <w:b/>
          <w:color w:val="037A3A"/>
          <w:sz w:val="26"/>
        </w:rPr>
        <w:t>Scope</w:t>
      </w:r>
    </w:p>
    <w:p>
      <w:pPr>
        <w:spacing w:before="0" w:after="120"/>
      </w:pPr>
      <w:r>
        <w:rPr>
          <w:sz w:val="22"/>
        </w:rPr>
        <w:t>This policy applies to:</w:t>
      </w:r>
    </w:p>
    <w:p>
      <w:pPr>
        <w:pStyle w:val="ListBullet"/>
        <w:spacing w:before="0" w:after="60"/>
      </w:pPr>
      <w:r>
        <w:rPr>
          <w:sz w:val="22"/>
        </w:rPr>
        <w:t>All cats and kittens under the care of Forgotten Felines Cat Rescue</w:t>
      </w:r>
    </w:p>
    <w:p>
      <w:pPr>
        <w:pStyle w:val="ListBullet"/>
        <w:spacing w:before="0" w:after="60"/>
      </w:pPr>
      <w:r>
        <w:rPr>
          <w:sz w:val="22"/>
        </w:rPr>
        <w:t>All trustees, foster carers, and volunteers involved in animal care and decision-making</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3 </w:t>
      </w:r>
      <w:r>
        <w:t xml:space="preserve">  </w:t>
      </w:r>
      <w:r>
        <w:rPr>
          <w:b/>
          <w:color w:val="037A3A"/>
          <w:sz w:val="26"/>
        </w:rPr>
        <w:t>Guiding Principles</w:t>
      </w:r>
    </w:p>
    <w:p>
      <w:pPr>
        <w:spacing w:before="0" w:after="120"/>
      </w:pPr>
      <w:r>
        <w:rPr>
          <w:sz w:val="22"/>
        </w:rPr>
        <w:t>Forgotten Felines is committed to:</w:t>
      </w:r>
    </w:p>
    <w:p>
      <w:pPr>
        <w:pStyle w:val="ListBullet"/>
        <w:spacing w:before="0" w:after="60"/>
      </w:pPr>
      <w:r>
        <w:rPr>
          <w:sz w:val="22"/>
        </w:rPr>
        <w:t>Prioritising quality of life and freedom from suffering</w:t>
      </w:r>
    </w:p>
    <w:p>
      <w:pPr>
        <w:pStyle w:val="ListBullet"/>
        <w:spacing w:before="0" w:after="60"/>
      </w:pPr>
      <w:r>
        <w:rPr>
          <w:sz w:val="22"/>
        </w:rPr>
        <w:t>Ensuring euthanasia is used only as a last resort</w:t>
      </w:r>
    </w:p>
    <w:p>
      <w:pPr>
        <w:pStyle w:val="ListBullet"/>
        <w:spacing w:before="0" w:after="60"/>
      </w:pPr>
      <w:r>
        <w:rPr>
          <w:sz w:val="22"/>
        </w:rPr>
        <w:t>Never euthanising a cat for convenience, space, or length of stay</w:t>
      </w:r>
    </w:p>
    <w:p>
      <w:pPr>
        <w:pStyle w:val="ListBullet"/>
        <w:spacing w:before="0" w:after="60"/>
      </w:pPr>
      <w:r>
        <w:rPr>
          <w:sz w:val="22"/>
        </w:rPr>
        <w:t>Seeking veterinary advice in all non-emergency cases</w:t>
      </w:r>
    </w:p>
    <w:p>
      <w:pPr>
        <w:pStyle w:val="ListBullet"/>
        <w:spacing w:before="0" w:after="60"/>
      </w:pPr>
      <w:r>
        <w:rPr>
          <w:sz w:val="22"/>
        </w:rPr>
        <w:t>Treating every cat with compassion, dignity, and respect</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4 </w:t>
      </w:r>
      <w:r>
        <w:t xml:space="preserve">  </w:t>
      </w:r>
      <w:r>
        <w:rPr>
          <w:b/>
          <w:color w:val="037A3A"/>
          <w:sz w:val="26"/>
        </w:rPr>
        <w:t>Definition of Euthanasia</w:t>
      </w:r>
    </w:p>
    <w:p>
      <w:pPr>
        <w:spacing w:before="0" w:after="120"/>
      </w:pPr>
      <w:r>
        <w:rPr>
          <w:sz w:val="22"/>
        </w:rPr>
        <w:t>Euthanasia is defined as the humane ending of an animal's life by a qualified professional using approved veterinary methods to relieve suffering.</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5 </w:t>
      </w:r>
      <w:r>
        <w:t xml:space="preserve">  </w:t>
      </w:r>
      <w:r>
        <w:rPr>
          <w:b/>
          <w:color w:val="037A3A"/>
          <w:sz w:val="26"/>
        </w:rPr>
        <w:t>Acceptable Grounds for Euthanasia</w:t>
      </w:r>
    </w:p>
    <w:p>
      <w:pPr>
        <w:spacing w:before="160" w:after="40"/>
      </w:pPr>
      <w:r>
        <w:rPr>
          <w:b/>
          <w:color w:val="111827"/>
          <w:sz w:val="22"/>
        </w:rPr>
        <w:t>5.1 Medical Grounds</w:t>
      </w:r>
    </w:p>
    <w:p>
      <w:pPr>
        <w:pStyle w:val="ListBullet"/>
        <w:spacing w:before="0" w:after="60"/>
      </w:pPr>
      <w:r>
        <w:rPr>
          <w:sz w:val="22"/>
        </w:rPr>
        <w:t>Terminal illness with poor or no prognosis</w:t>
      </w:r>
    </w:p>
    <w:p>
      <w:pPr>
        <w:pStyle w:val="ListBullet"/>
        <w:spacing w:before="0" w:after="60"/>
      </w:pPr>
      <w:r>
        <w:rPr>
          <w:sz w:val="22"/>
        </w:rPr>
        <w:t>Severe injury where recovery is not possible or would involve prolonged suffering</w:t>
      </w:r>
    </w:p>
    <w:p>
      <w:pPr>
        <w:pStyle w:val="ListBullet"/>
        <w:spacing w:before="0" w:after="60"/>
      </w:pPr>
      <w:r>
        <w:rPr>
          <w:sz w:val="22"/>
        </w:rPr>
        <w:t>Untreatable or advanced disease causing significant pain or distress</w:t>
      </w:r>
    </w:p>
    <w:p>
      <w:pPr>
        <w:pStyle w:val="ListBullet"/>
        <w:spacing w:before="0" w:after="60"/>
      </w:pPr>
      <w:r>
        <w:rPr>
          <w:sz w:val="22"/>
        </w:rPr>
        <w:t>Chronic conditions where treatment is ineffective and quality of life is poor</w:t>
      </w:r>
    </w:p>
    <w:p>
      <w:pPr>
        <w:spacing w:before="160" w:after="40"/>
      </w:pPr>
      <w:r>
        <w:rPr>
          <w:b/>
          <w:color w:val="111827"/>
          <w:sz w:val="22"/>
        </w:rPr>
        <w:t>5.2 Quality of Life</w:t>
      </w:r>
    </w:p>
    <w:p>
      <w:pPr>
        <w:spacing w:before="0" w:after="120"/>
      </w:pPr>
      <w:r>
        <w:rPr>
          <w:sz w:val="22"/>
        </w:rPr>
        <w:t>Forgotten Felines bases all euthanasia decisions on quality of life. A day too early is better than a day too late.</w:t>
      </w:r>
    </w:p>
    <w:p>
      <w:pPr>
        <w:pStyle w:val="ListBullet"/>
        <w:spacing w:before="0" w:after="60"/>
      </w:pPr>
      <w:r>
        <w:rPr>
          <w:sz w:val="22"/>
        </w:rPr>
        <w:t>Persistent, unmanageable pain</w:t>
      </w:r>
    </w:p>
    <w:p>
      <w:pPr>
        <w:pStyle w:val="ListBullet"/>
        <w:spacing w:before="0" w:after="60"/>
      </w:pPr>
      <w:r>
        <w:rPr>
          <w:sz w:val="22"/>
        </w:rPr>
        <w:t>Inability to eat, drink, or maintain hydration</w:t>
      </w:r>
    </w:p>
    <w:p>
      <w:pPr>
        <w:pStyle w:val="ListBullet"/>
        <w:spacing w:before="0" w:after="60"/>
      </w:pPr>
      <w:r>
        <w:rPr>
          <w:sz w:val="22"/>
        </w:rPr>
        <w:t>Loss of mobility or inability to perform basic functions</w:t>
      </w:r>
    </w:p>
    <w:p>
      <w:pPr>
        <w:pStyle w:val="ListBullet"/>
        <w:spacing w:before="0" w:after="60"/>
      </w:pPr>
      <w:r>
        <w:rPr>
          <w:sz w:val="22"/>
        </w:rPr>
        <w:t>Ongoing distress, fear, or withdrawal</w:t>
      </w:r>
    </w:p>
    <w:p>
      <w:pPr>
        <w:pStyle w:val="ListBullet"/>
        <w:spacing w:before="0" w:after="60"/>
      </w:pPr>
      <w:r>
        <w:rPr>
          <w:sz w:val="22"/>
        </w:rPr>
        <w:t>More "bad days" than "good days"</w:t>
      </w:r>
    </w:p>
    <w:p>
      <w:pPr>
        <w:spacing w:before="160" w:after="40"/>
      </w:pPr>
      <w:r>
        <w:rPr>
          <w:b/>
          <w:color w:val="111827"/>
          <w:sz w:val="22"/>
        </w:rPr>
        <w:t>5.3 Behavioural Grounds</w:t>
      </w:r>
    </w:p>
    <w:p>
      <w:pPr>
        <w:spacing w:before="0" w:after="120"/>
      </w:pPr>
      <w:r>
        <w:rPr>
          <w:sz w:val="22"/>
        </w:rPr>
        <w:t>Euthanasia for behavioural reasons will only be considered when:</w:t>
      </w:r>
    </w:p>
    <w:p>
      <w:pPr>
        <w:pStyle w:val="ListBullet"/>
        <w:spacing w:before="0" w:after="60"/>
      </w:pPr>
      <w:r>
        <w:rPr>
          <w:sz w:val="22"/>
        </w:rPr>
        <w:t xml:space="preserve">The cat presents a serious and unmanageable risk to human safety, </w:t>
      </w:r>
      <w:r>
        <w:rPr>
          <w:b/>
          <w:sz w:val="22"/>
        </w:rPr>
        <w:t>AND</w:t>
      </w:r>
    </w:p>
    <w:p>
      <w:pPr>
        <w:pStyle w:val="ListBullet"/>
        <w:spacing w:before="0" w:after="60"/>
      </w:pPr>
      <w:r>
        <w:rPr>
          <w:sz w:val="22"/>
        </w:rPr>
        <w:t xml:space="preserve">Behavioural rehabilitation has been attempted or assessed by a qualified professional, </w:t>
      </w:r>
      <w:r>
        <w:rPr>
          <w:b/>
          <w:sz w:val="22"/>
        </w:rPr>
        <w:t>AND</w:t>
      </w:r>
    </w:p>
    <w:p>
      <w:pPr>
        <w:pStyle w:val="ListBullet"/>
        <w:spacing w:before="0" w:after="60"/>
      </w:pPr>
      <w:r>
        <w:rPr>
          <w:sz w:val="22"/>
        </w:rPr>
        <w:t>No safe alternative placement (e.g. specialist sanctuary) is available</w:t>
      </w:r>
    </w:p>
    <w:p>
      <w:pPr>
        <w:spacing w:before="160" w:after="40"/>
      </w:pPr>
      <w:r>
        <w:rPr>
          <w:b/>
          <w:color w:val="111827"/>
          <w:sz w:val="22"/>
        </w:rPr>
        <w:t>5.4 Neonatal and Critical Cases</w:t>
      </w:r>
    </w:p>
    <w:p>
      <w:pPr>
        <w:pStyle w:val="ListBullet"/>
        <w:spacing w:before="0" w:after="60"/>
      </w:pPr>
      <w:r>
        <w:rPr>
          <w:sz w:val="22"/>
        </w:rPr>
        <w:t>Neonatal kittens unlikely to survive despite appropriate care</w:t>
      </w:r>
    </w:p>
    <w:p>
      <w:pPr>
        <w:pStyle w:val="ListBullet"/>
        <w:spacing w:before="0" w:after="60"/>
      </w:pPr>
      <w:r>
        <w:rPr>
          <w:sz w:val="22"/>
        </w:rPr>
        <w:t>Cases where intervention would prolong suffering without realistic recovery</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6 </w:t>
      </w:r>
      <w:r>
        <w:t xml:space="preserve">  </w:t>
      </w:r>
      <w:r>
        <w:rPr>
          <w:b/>
          <w:color w:val="037A3A"/>
          <w:sz w:val="26"/>
        </w:rPr>
        <w:t>Unacceptable Grounds</w:t>
      </w:r>
    </w:p>
    <w:p>
      <w:pPr>
        <w:spacing w:before="0" w:after="120"/>
      </w:pPr>
      <w:r>
        <w:rPr>
          <w:sz w:val="22"/>
        </w:rPr>
        <w:t>Euthanasia will not be carried out for:</w:t>
      </w:r>
    </w:p>
    <w:p>
      <w:pPr>
        <w:pStyle w:val="ListBullet"/>
        <w:spacing w:before="0" w:after="60"/>
      </w:pPr>
      <w:r>
        <w:rPr>
          <w:sz w:val="22"/>
        </w:rPr>
        <w:t>Lack of space, funding, or resources</w:t>
      </w:r>
    </w:p>
    <w:p>
      <w:pPr>
        <w:pStyle w:val="ListBullet"/>
        <w:spacing w:before="0" w:after="60"/>
      </w:pPr>
      <w:r>
        <w:rPr>
          <w:sz w:val="22"/>
        </w:rPr>
        <w:t>Length of time in care</w:t>
      </w:r>
    </w:p>
    <w:p>
      <w:pPr>
        <w:pStyle w:val="ListBullet"/>
        <w:spacing w:before="0" w:after="60"/>
      </w:pPr>
      <w:r>
        <w:rPr>
          <w:sz w:val="22"/>
        </w:rPr>
        <w:t>Minor or treatable medical conditions</w:t>
      </w:r>
    </w:p>
    <w:p>
      <w:pPr>
        <w:pStyle w:val="ListBullet"/>
        <w:spacing w:before="0" w:after="60"/>
      </w:pPr>
      <w:r>
        <w:rPr>
          <w:sz w:val="22"/>
        </w:rPr>
        <w:t>Convenience or non-medical reasons</w:t>
      </w:r>
    </w:p>
    <w:p>
      <w:pPr>
        <w:pStyle w:val="ListBullet"/>
        <w:spacing w:before="0" w:after="60"/>
      </w:pPr>
      <w:r>
        <w:rPr>
          <w:sz w:val="22"/>
        </w:rPr>
        <w:t>FIV status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7 </w:t>
      </w:r>
      <w:r>
        <w:t xml:space="preserve">  </w:t>
      </w:r>
      <w:r>
        <w:rPr>
          <w:b/>
          <w:color w:val="037A3A"/>
          <w:sz w:val="26"/>
        </w:rPr>
        <w:t>Decision-Making Process</w:t>
      </w:r>
    </w:p>
    <w:p>
      <w:pPr>
        <w:spacing w:before="160" w:after="40"/>
      </w:pPr>
      <w:r>
        <w:rPr>
          <w:b/>
          <w:color w:val="111827"/>
          <w:sz w:val="22"/>
        </w:rPr>
        <w:t>7.1 Veterinary Involvement</w:t>
      </w:r>
    </w:p>
    <w:p>
      <w:pPr>
        <w:spacing w:before="0" w:after="120"/>
      </w:pPr>
      <w:r>
        <w:rPr>
          <w:sz w:val="22"/>
        </w:rPr>
        <w:t>A licensed veterinary surgeon must assess the cat prior to euthanasia (except in emergency situations where immediate action is required to prevent suffering).</w:t>
      </w:r>
    </w:p>
    <w:p>
      <w:pPr>
        <w:spacing w:before="160" w:after="40"/>
      </w:pPr>
      <w:r>
        <w:rPr>
          <w:b/>
          <w:color w:val="111827"/>
          <w:sz w:val="22"/>
        </w:rPr>
        <w:t>7.2 Internal Review</w:t>
      </w:r>
    </w:p>
    <w:p>
      <w:pPr>
        <w:spacing w:before="0" w:after="120"/>
      </w:pPr>
      <w:r>
        <w:rPr>
          <w:sz w:val="22"/>
        </w:rPr>
        <w:t>Non-emergency decisions must be reviewed by at least:</w:t>
      </w:r>
    </w:p>
    <w:p>
      <w:pPr>
        <w:pStyle w:val="ListBullet"/>
        <w:spacing w:before="0" w:after="60"/>
      </w:pPr>
      <w:r>
        <w:rPr>
          <w:sz w:val="22"/>
        </w:rPr>
        <w:t xml:space="preserve">A Trustee, </w:t>
      </w:r>
      <w:r>
        <w:rPr>
          <w:b/>
          <w:sz w:val="22"/>
        </w:rPr>
        <w:t>AND</w:t>
      </w:r>
    </w:p>
    <w:p>
      <w:pPr>
        <w:pStyle w:val="ListBullet"/>
        <w:spacing w:before="0" w:after="60"/>
      </w:pPr>
      <w:r>
        <w:rPr>
          <w:sz w:val="22"/>
        </w:rPr>
        <w:t>The attending veterinarian</w:t>
      </w:r>
    </w:p>
    <w:p>
      <w:pPr>
        <w:spacing w:before="0" w:after="120"/>
      </w:pPr>
      <w:r>
        <w:rPr>
          <w:sz w:val="22"/>
        </w:rPr>
        <w:t>Complex or borderline cases should seek a second veterinary opinion.</w:t>
      </w:r>
    </w:p>
    <w:p>
      <w:pPr>
        <w:spacing w:before="160" w:after="40"/>
      </w:pPr>
      <w:r>
        <w:rPr>
          <w:b/>
          <w:color w:val="111827"/>
          <w:sz w:val="22"/>
        </w:rPr>
        <w:t>7.3 Documentation</w:t>
      </w:r>
    </w:p>
    <w:p>
      <w:pPr>
        <w:spacing w:before="0" w:after="120"/>
      </w:pPr>
      <w:r>
        <w:rPr>
          <w:sz w:val="22"/>
        </w:rPr>
        <w:t>The following must be recorded:</w:t>
      </w:r>
    </w:p>
    <w:p>
      <w:pPr>
        <w:pStyle w:val="ListBullet"/>
        <w:spacing w:before="0" w:after="60"/>
      </w:pPr>
      <w:r>
        <w:rPr>
          <w:sz w:val="22"/>
        </w:rPr>
        <w:t>Cat identification details</w:t>
      </w:r>
    </w:p>
    <w:p>
      <w:pPr>
        <w:pStyle w:val="ListBullet"/>
        <w:spacing w:before="0" w:after="60"/>
      </w:pPr>
      <w:r>
        <w:rPr>
          <w:sz w:val="22"/>
        </w:rPr>
        <w:t>Medical and/or behavioural history</w:t>
      </w:r>
    </w:p>
    <w:p>
      <w:pPr>
        <w:pStyle w:val="ListBullet"/>
        <w:spacing w:before="0" w:after="60"/>
      </w:pPr>
      <w:r>
        <w:rPr>
          <w:sz w:val="22"/>
        </w:rPr>
        <w:t>Veterinary diagnosis and prognosis</w:t>
      </w:r>
    </w:p>
    <w:p>
      <w:pPr>
        <w:pStyle w:val="ListBullet"/>
        <w:spacing w:before="0" w:after="60"/>
      </w:pPr>
      <w:r>
        <w:rPr>
          <w:sz w:val="22"/>
        </w:rPr>
        <w:t>Reason for euthanasia decision</w:t>
      </w:r>
    </w:p>
    <w:p>
      <w:pPr>
        <w:pStyle w:val="ListBullet"/>
        <w:spacing w:before="0" w:after="60"/>
      </w:pPr>
      <w:r>
        <w:rPr>
          <w:sz w:val="22"/>
        </w:rPr>
        <w:t>Names of decision-makers and date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8 </w:t>
      </w:r>
      <w:r>
        <w:t xml:space="preserve">  </w:t>
      </w:r>
      <w:r>
        <w:rPr>
          <w:b/>
          <w:color w:val="037A3A"/>
          <w:sz w:val="26"/>
        </w:rPr>
        <w:t>Emergency Euthanasia</w:t>
      </w:r>
    </w:p>
    <w:p>
      <w:pPr>
        <w:spacing w:before="0" w:after="120"/>
      </w:pPr>
      <w:r>
        <w:rPr>
          <w:sz w:val="22"/>
        </w:rPr>
        <w:t>In cases of severe trauma or acute suffering:</w:t>
      </w:r>
    </w:p>
    <w:p>
      <w:pPr>
        <w:pStyle w:val="ListBullet"/>
        <w:spacing w:before="0" w:after="60"/>
      </w:pPr>
      <w:r>
        <w:rPr>
          <w:sz w:val="22"/>
        </w:rPr>
        <w:t>Immediate euthanasia may be authorised by a veterinarian</w:t>
      </w:r>
    </w:p>
    <w:p>
      <w:pPr>
        <w:pStyle w:val="ListBullet"/>
        <w:spacing w:before="0" w:after="60"/>
      </w:pPr>
      <w:r>
        <w:rPr>
          <w:sz w:val="22"/>
        </w:rPr>
        <w:t>If a veterinarian is not immediately available, the rescue must act in the cat's best interest to minimise suffering and seek urgent veterinary intervention</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9 </w:t>
      </w:r>
      <w:r>
        <w:t xml:space="preserve">  </w:t>
      </w:r>
      <w:r>
        <w:rPr>
          <w:b/>
          <w:color w:val="037A3A"/>
          <w:sz w:val="26"/>
        </w:rPr>
        <w:t>Procedure Standards</w:t>
      </w:r>
    </w:p>
    <w:p>
      <w:pPr>
        <w:spacing w:before="0" w:after="120"/>
      </w:pPr>
      <w:r>
        <w:rPr>
          <w:sz w:val="22"/>
        </w:rPr>
        <w:t>Euthanasia must:</w:t>
      </w:r>
    </w:p>
    <w:p>
      <w:pPr>
        <w:pStyle w:val="ListBullet"/>
        <w:spacing w:before="0" w:after="60"/>
      </w:pPr>
      <w:r>
        <w:rPr>
          <w:sz w:val="22"/>
        </w:rPr>
        <w:t>Be carried out by a qualified veterinary professional</w:t>
      </w:r>
    </w:p>
    <w:p>
      <w:pPr>
        <w:pStyle w:val="ListBullet"/>
        <w:spacing w:before="0" w:after="60"/>
      </w:pPr>
      <w:r>
        <w:rPr>
          <w:sz w:val="22"/>
        </w:rPr>
        <w:t>Follow Royal College of Veterinary Surgeons (RCVS) guidelines</w:t>
      </w:r>
    </w:p>
    <w:p>
      <w:pPr>
        <w:pStyle w:val="ListBullet"/>
        <w:spacing w:before="0" w:after="60"/>
      </w:pPr>
      <w:r>
        <w:rPr>
          <w:sz w:val="22"/>
        </w:rPr>
        <w:t>Include appropriate sedation or anaesthesia to minimise stress</w:t>
      </w:r>
    </w:p>
    <w:p>
      <w:pPr>
        <w:pStyle w:val="ListBullet"/>
        <w:spacing w:before="0" w:after="60"/>
      </w:pPr>
      <w:r>
        <w:rPr>
          <w:sz w:val="22"/>
        </w:rPr>
        <w:t>Take place in a calm, quiet environment wherever possible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10 </w:t>
      </w:r>
      <w:r>
        <w:t xml:space="preserve">  </w:t>
      </w:r>
      <w:r>
        <w:rPr>
          <w:b/>
          <w:color w:val="037A3A"/>
          <w:sz w:val="26"/>
        </w:rPr>
        <w:t>Aftercare</w:t>
      </w:r>
    </w:p>
    <w:p>
      <w:pPr>
        <w:pStyle w:val="ListBullet"/>
        <w:spacing w:before="0" w:after="60"/>
      </w:pPr>
      <w:r>
        <w:rPr>
          <w:sz w:val="22"/>
        </w:rPr>
        <w:t>Remains will be handled respectfully and in accordance with legal requirements</w:t>
      </w:r>
    </w:p>
    <w:p>
      <w:pPr>
        <w:pStyle w:val="ListBullet"/>
        <w:spacing w:before="0" w:after="60"/>
      </w:pPr>
      <w:r>
        <w:rPr>
          <w:sz w:val="22"/>
        </w:rPr>
        <w:t>Communal cremation is Forgotten Felines' standard policy. If a fosterer wishes to have a private cremation, the cost must be borne by the fosterer.</w:t>
      </w:r>
    </w:p>
    <w:p>
      <w:pPr>
        <w:pStyle w:val="ListBullet"/>
        <w:spacing w:before="0" w:after="60"/>
      </w:pPr>
      <w:r>
        <w:rPr>
          <w:sz w:val="22"/>
        </w:rPr>
        <w:t>Records of aftercare arrangements must be maintained</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11 </w:t>
      </w:r>
      <w:r>
        <w:t xml:space="preserve">  </w:t>
      </w:r>
      <w:r>
        <w:rPr>
          <w:b/>
          <w:color w:val="037A3A"/>
          <w:sz w:val="26"/>
        </w:rPr>
        <w:t>Staff and Volunteer Support</w:t>
      </w:r>
    </w:p>
    <w:p>
      <w:pPr>
        <w:spacing w:before="0" w:after="120"/>
      </w:pPr>
      <w:r>
        <w:rPr>
          <w:sz w:val="22"/>
        </w:rPr>
        <w:t>Recognising the emotional impact of euthanasia:</w:t>
      </w:r>
    </w:p>
    <w:p>
      <w:pPr>
        <w:pStyle w:val="ListBullet"/>
        <w:spacing w:before="0" w:after="60"/>
      </w:pPr>
      <w:r>
        <w:rPr>
          <w:sz w:val="22"/>
        </w:rPr>
        <w:t>Support will be offered to staff and volunteers</w:t>
      </w:r>
    </w:p>
    <w:p>
      <w:pPr>
        <w:pStyle w:val="ListBullet"/>
        <w:spacing w:before="0" w:after="60"/>
      </w:pPr>
      <w:r>
        <w:rPr>
          <w:sz w:val="22"/>
        </w:rPr>
        <w:t>Debriefing may be provided following difficult cases</w:t>
      </w:r>
    </w:p>
    <w:p>
      <w:pPr>
        <w:pStyle w:val="ListBullet"/>
        <w:spacing w:before="0" w:after="60"/>
      </w:pPr>
      <w:r>
        <w:rPr>
          <w:sz w:val="22"/>
        </w:rPr>
        <w:t>A culture of openness and compassion will be maintained</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12 </w:t>
      </w:r>
      <w:r>
        <w:t xml:space="preserve">  </w:t>
      </w:r>
      <w:r>
        <w:rPr>
          <w:b/>
          <w:color w:val="037A3A"/>
          <w:sz w:val="26"/>
        </w:rPr>
        <w:t>Review and Accountability</w:t>
      </w:r>
    </w:p>
    <w:p>
      <w:pPr>
        <w:pStyle w:val="ListBullet"/>
        <w:spacing w:before="0" w:after="60"/>
      </w:pPr>
      <w:r>
        <w:rPr>
          <w:sz w:val="22"/>
        </w:rPr>
        <w:t>All euthanasia cases will be periodically reviewed to ensure policy compliance</w:t>
      </w:r>
    </w:p>
    <w:p>
      <w:pPr>
        <w:pStyle w:val="ListBullet"/>
        <w:spacing w:before="0" w:after="60"/>
      </w:pPr>
      <w:r>
        <w:rPr>
          <w:sz w:val="22"/>
        </w:rPr>
        <w:t>This policy will be reviewed annually or as required</w:t>
      </w:r>
    </w:p>
    <w:p>
      <w:pPr>
        <w:pStyle w:val="ListBullet"/>
        <w:spacing w:before="0" w:after="60"/>
      </w:pPr>
      <w:r>
        <w:rPr>
          <w:sz w:val="22"/>
        </w:rPr>
        <w:t>Any concerns or deviations must be reported to trustees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13 </w:t>
      </w:r>
      <w:r>
        <w:t xml:space="preserve">  </w:t>
      </w:r>
      <w:r>
        <w:rPr>
          <w:b/>
          <w:color w:val="037A3A"/>
          <w:sz w:val="26"/>
        </w:rPr>
        <w:t>Legal and Ethical Compliance</w:t>
      </w:r>
    </w:p>
    <w:p>
      <w:pPr>
        <w:spacing w:before="0" w:after="120"/>
      </w:pPr>
      <w:r>
        <w:rPr>
          <w:sz w:val="22"/>
        </w:rPr>
        <w:t>This policy aligns with:</w:t>
      </w:r>
    </w:p>
    <w:p>
      <w:pPr>
        <w:pStyle w:val="ListBullet"/>
        <w:spacing w:before="0" w:after="60"/>
      </w:pPr>
      <w:r>
        <w:rPr>
          <w:sz w:val="22"/>
        </w:rPr>
        <w:t>The Animal Welfare Act 2006 (UK)</w:t>
      </w:r>
    </w:p>
    <w:p>
      <w:pPr>
        <w:pStyle w:val="ListBullet"/>
        <w:spacing w:before="0" w:after="60"/>
      </w:pPr>
      <w:r>
        <w:rPr>
          <w:sz w:val="22"/>
        </w:rPr>
        <w:t>Guidance from the Royal College of Veterinary Surgeons (RCVS)</w:t>
      </w:r>
    </w:p>
    <w:p>
      <w:pPr>
        <w:pStyle w:val="ListBullet"/>
        <w:spacing w:before="0" w:after="60"/>
      </w:pPr>
      <w:r>
        <w:rPr>
          <w:sz w:val="22"/>
        </w:rPr>
        <w:t>Relevant local authority and animal welfare standards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14 </w:t>
      </w:r>
      <w:r>
        <w:t xml:space="preserve">  </w:t>
      </w:r>
      <w:r>
        <w:rPr>
          <w:b/>
          <w:color w:val="037A3A"/>
          <w:sz w:val="26"/>
        </w:rPr>
        <w:t>Policy Approval</w:t>
      </w:r>
    </w:p>
    <w:p>
      <w:pPr>
        <w:spacing w:before="0" w:after="120"/>
      </w:pPr>
      <w:r>
        <w:rPr>
          <w:sz w:val="22"/>
        </w:rPr>
        <w:t>Approved by: __________________________</w:t>
      </w:r>
    </w:p>
    <w:p>
      <w:pPr>
        <w:spacing w:before="0" w:after="120"/>
      </w:pPr>
      <w:r>
        <w:rPr>
          <w:sz w:val="22"/>
        </w:rPr>
        <w:t>Position: _____________________________</w:t>
      </w:r>
    </w:p>
    <w:p>
      <w:pPr>
        <w:spacing w:before="0" w:after="120"/>
      </w:pPr>
      <w:r>
        <w:rPr>
          <w:sz w:val="22"/>
        </w:rPr>
        <w:t>Date: ________________________________</w:t>
      </w:r>
    </w:p>
    <w:p>
      <w:pPr>
        <w:spacing w:before="0" w:after="120"/>
      </w:pPr>
      <w:r>
        <w:rPr>
          <w:sz w:val="22"/>
        </w:rPr>
        <w:t>Next Review Date: _____________________</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15 </w:t>
      </w:r>
      <w:r>
        <w:t xml:space="preserve">  </w:t>
      </w:r>
      <w:r>
        <w:rPr>
          <w:b/>
          <w:color w:val="037A3A"/>
          <w:sz w:val="26"/>
        </w:rPr>
        <w:t>Review &amp; Approval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5A44E"/>
          </w:tcPr>
          <w:p>
            <w:pPr>
              <w:spacing w:before="80" w:after="80"/>
            </w:pPr>
            <w:r>
              <w:rPr>
                <w:b/>
                <w:color w:val="FFFFFF"/>
                <w:sz w:val="19"/>
              </w:rPr>
              <w:t>Name</w:t>
            </w:r>
          </w:p>
        </w:tc>
        <w:tc>
          <w:tcPr>
            <w:tcW w:type="dxa" w:w="2268"/>
            <w:shd w:val="clear" w:color="auto" w:fill="05A44E"/>
          </w:tcPr>
          <w:p>
            <w:pPr>
              <w:spacing w:before="80" w:after="80"/>
            </w:pPr>
            <w:r>
              <w:rPr>
                <w:b/>
                <w:color w:val="FFFFFF"/>
                <w:sz w:val="19"/>
              </w:rPr>
              <w:t>Role</w:t>
            </w:r>
          </w:p>
        </w:tc>
        <w:tc>
          <w:tcPr>
            <w:tcW w:type="dxa" w:w="2268"/>
            <w:shd w:val="clear" w:color="auto" w:fill="05A44E"/>
          </w:tcPr>
          <w:p>
            <w:pPr>
              <w:spacing w:before="80" w:after="80"/>
            </w:pPr>
            <w:r>
              <w:rPr>
                <w:b/>
                <w:color w:val="FFFFFF"/>
                <w:sz w:val="19"/>
              </w:rPr>
              <w:t>Signature</w:t>
            </w:r>
          </w:p>
        </w:tc>
        <w:tc>
          <w:tcPr>
            <w:tcW w:type="dxa" w:w="2268"/>
            <w:shd w:val="clear" w:color="auto" w:fill="05A44E"/>
          </w:tcPr>
          <w:p>
            <w:pPr>
              <w:spacing w:before="80" w:after="80"/>
            </w:pPr>
            <w:r>
              <w:rPr>
                <w:b/>
                <w:color w:val="FFFFFF"/>
                <w:sz w:val="19"/>
              </w:rPr>
              <w:t>Date</w:t>
            </w:r>
          </w:p>
        </w:tc>
      </w:tr>
      <w:tr>
        <w:tc>
          <w:tcPr>
            <w:tcW w:type="dxa" w:w="2268"/>
            <w:shd w:val="clear" w:color="auto" w:fill="FFFFFF"/>
          </w:tcPr>
          <w:p>
            <w:pPr>
              <w:spacing w:before="320" w:after="320"/>
            </w:pPr>
            <w:r>
              <w:rPr>
                <w:sz w:val="20"/>
              </w:rPr>
              <w:t>Bev Hibbert</w:t>
            </w:r>
          </w:p>
        </w:tc>
        <w:tc>
          <w:tcPr>
            <w:tcW w:type="dxa" w:w="2268"/>
            <w:shd w:val="clear" w:color="auto" w:fill="FFFFFF"/>
          </w:tcPr>
          <w:p>
            <w:pPr>
              <w:spacing w:before="320" w:after="320"/>
            </w:pPr>
            <w:r>
              <w:rPr>
                <w:sz w:val="20"/>
              </w:rPr>
              <w:t>Founder</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r>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t>Trustee</w:t>
            </w:r>
          </w:p>
        </w:tc>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r>
          </w:p>
        </w:tc>
      </w:tr>
      <w:tr>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t>Trustee</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bl>
    <w:p/>
    <w:p>
      <w:pPr>
        <w:spacing w:before="280" w:after="120"/>
        <w:pBdr>
          <w:bottom w:val="single" w:sz="6" w:space="2" w:color="C2EDD6"/>
        </w:pBdr>
      </w:pPr>
      <w:r>
        <w:rPr>
          <w:b/>
          <w:color w:val="FFFFFF"/>
          <w:sz w:val="20"/>
          <w:shd w:val="clear" w:color="auto" w:fill="05A44E"/>
        </w:rPr>
        <w:t xml:space="preserve"> 16 </w:t>
      </w:r>
      <w:r>
        <w:t xml:space="preserve">  </w:t>
      </w:r>
      <w:r>
        <w:rPr>
          <w:b/>
          <w:color w:val="037A3A"/>
          <w:sz w:val="26"/>
        </w:rPr>
        <w:t>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11827"/>
          </w:tcPr>
          <w:p>
            <w:pPr>
              <w:spacing w:before="80" w:after="80"/>
            </w:pPr>
            <w:r>
              <w:rPr>
                <w:b/>
                <w:color w:val="FFFFFF"/>
                <w:sz w:val="19"/>
              </w:rPr>
              <w:t>Version</w:t>
            </w:r>
          </w:p>
        </w:tc>
        <w:tc>
          <w:tcPr>
            <w:tcW w:type="dxa" w:w="2268"/>
            <w:shd w:val="clear" w:color="auto" w:fill="111827"/>
          </w:tcPr>
          <w:p>
            <w:pPr>
              <w:spacing w:before="80" w:after="80"/>
            </w:pPr>
            <w:r>
              <w:rPr>
                <w:b/>
                <w:color w:val="FFFFFF"/>
                <w:sz w:val="19"/>
              </w:rPr>
              <w:t>Date</w:t>
            </w:r>
          </w:p>
        </w:tc>
        <w:tc>
          <w:tcPr>
            <w:tcW w:type="dxa" w:w="2268"/>
            <w:shd w:val="clear" w:color="auto" w:fill="111827"/>
          </w:tcPr>
          <w:p>
            <w:pPr>
              <w:spacing w:before="80" w:after="80"/>
            </w:pPr>
            <w:r>
              <w:rPr>
                <w:b/>
                <w:color w:val="FFFFFF"/>
                <w:sz w:val="19"/>
              </w:rPr>
              <w:t>Author</w:t>
            </w:r>
          </w:p>
        </w:tc>
        <w:tc>
          <w:tcPr>
            <w:tcW w:type="dxa" w:w="2268"/>
            <w:shd w:val="clear" w:color="auto" w:fill="111827"/>
          </w:tcPr>
          <w:p>
            <w:pPr>
              <w:spacing w:before="80" w:after="80"/>
            </w:pPr>
            <w:r>
              <w:rPr>
                <w:b/>
                <w:color w:val="FFFFFF"/>
                <w:sz w:val="19"/>
              </w:rPr>
              <w:t>Changes</w:t>
            </w:r>
          </w:p>
        </w:tc>
      </w:tr>
      <w:tr>
        <w:tc>
          <w:tcPr>
            <w:tcW w:type="dxa" w:w="2268"/>
            <w:shd w:val="clear" w:color="auto" w:fill="FFFFFF"/>
          </w:tcPr>
          <w:p>
            <w:pPr>
              <w:spacing w:before="60" w:after="60"/>
            </w:pPr>
            <w:r>
              <w:rPr>
                <w:sz w:val="20"/>
              </w:rPr>
              <w:t>1.0</w:t>
            </w:r>
          </w:p>
        </w:tc>
        <w:tc>
          <w:tcPr>
            <w:tcW w:type="dxa" w:w="2268"/>
            <w:shd w:val="clear" w:color="auto" w:fill="FFFFFF"/>
          </w:tcPr>
          <w:p>
            <w:pPr>
              <w:spacing w:before="60" w:after="60"/>
            </w:pPr>
            <w:r>
              <w:rPr>
                <w:sz w:val="20"/>
              </w:rPr>
              <w:t>[DD Month YYYY]</w:t>
            </w:r>
          </w:p>
        </w:tc>
        <w:tc>
          <w:tcPr>
            <w:tcW w:type="dxa" w:w="2268"/>
            <w:shd w:val="clear" w:color="auto" w:fill="FFFFFF"/>
          </w:tcPr>
          <w:p>
            <w:pPr>
              <w:spacing w:before="60" w:after="60"/>
            </w:pPr>
            <w:r>
              <w:rPr>
                <w:sz w:val="20"/>
              </w:rPr>
              <w:t>Trustees</w:t>
            </w:r>
          </w:p>
        </w:tc>
        <w:tc>
          <w:tcPr>
            <w:tcW w:type="dxa" w:w="2268"/>
            <w:shd w:val="clear" w:color="auto" w:fill="FFFFFF"/>
          </w:tcPr>
          <w:p>
            <w:pPr>
              <w:spacing w:before="60" w:after="60"/>
            </w:pPr>
            <w:r>
              <w:rPr>
                <w:sz w:val="20"/>
              </w:rPr>
              <w:t>Initial version</w:t>
            </w:r>
          </w:p>
        </w:tc>
      </w:tr>
      <w:tr>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Cat Rescue Euthanasia Policy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