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5A44E"/>
        <w:spacing w:before="0" w:after="0"/>
      </w:pPr>
      <w:r>
        <w:rPr>
          <w:b/>
          <w:color w:val="FFFFFF"/>
          <w:sz w:val="17"/>
        </w:rPr>
        <w:t>POLICY DOCUMENT</w:t>
      </w:r>
    </w:p>
    <w:p>
      <w:pPr>
        <w:shd w:val="clear" w:color="auto" w:fill="05A44E"/>
        <w:spacing w:before="0" w:after="240"/>
      </w:pPr>
      <w:r>
        <w:rPr>
          <w:color w:val="FFFFFF"/>
          <w:sz w:val="44"/>
        </w:rPr>
        <w:t>Bullying and Harassment Policy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6F8EF"/>
          </w:tcPr>
          <w:p>
            <w:pPr>
              <w:spacing w:before="60" w:after="60"/>
            </w:pPr>
            <w:r>
              <w:rPr>
                <w:b/>
                <w:color w:val="037A3A"/>
                <w:sz w:val="19"/>
              </w:rPr>
              <w:t>Policy Number</w:t>
            </w:r>
          </w:p>
        </w:tc>
        <w:tc>
          <w:tcPr>
            <w:tcW w:type="dxa" w:w="2268"/>
            <w:shd w:val="clear" w:color="auto" w:fill="FFFFFF"/>
          </w:tcPr>
          <w:p>
            <w:pPr>
              <w:spacing w:before="60" w:after="60"/>
            </w:pPr>
            <w:r>
              <w:rPr>
                <w:b w:val="0"/>
                <w:color w:val="111827"/>
                <w:sz w:val="19"/>
              </w:rPr>
              <w:t>FF-GOV-001</w:t>
            </w:r>
          </w:p>
        </w:tc>
        <w:tc>
          <w:tcPr>
            <w:tcW w:type="dxa" w:w="2268"/>
            <w:shd w:val="clear" w:color="auto" w:fill="E6F8EF"/>
          </w:tcPr>
          <w:p>
            <w:pPr>
              <w:spacing w:before="60" w:after="60"/>
            </w:pPr>
            <w:r>
              <w:rPr>
                <w:b/>
                <w:color w:val="037A3A"/>
                <w:sz w:val="19"/>
              </w:rPr>
              <w:t>Category</w:t>
            </w:r>
          </w:p>
        </w:tc>
        <w:tc>
          <w:tcPr>
            <w:tcW w:type="dxa" w:w="2268"/>
            <w:shd w:val="clear" w:color="auto" w:fill="FFFFFF"/>
          </w:tcPr>
          <w:p>
            <w:pPr>
              <w:spacing w:before="60" w:after="60"/>
            </w:pPr>
            <w:r>
              <w:rPr>
                <w:b w:val="0"/>
                <w:color w:val="111827"/>
                <w:sz w:val="19"/>
              </w:rPr>
              <w:t>Governance</w:t>
            </w:r>
          </w:p>
        </w:tc>
      </w:tr>
      <w:tr>
        <w:tc>
          <w:tcPr>
            <w:tcW w:type="dxa" w:w="2268"/>
            <w:shd w:val="clear" w:color="auto" w:fill="C2EDD6"/>
          </w:tcPr>
          <w:p>
            <w:pPr>
              <w:spacing w:before="60" w:after="60"/>
            </w:pPr>
            <w:r>
              <w:rPr>
                <w:b/>
                <w:color w:val="037A3A"/>
                <w:sz w:val="19"/>
              </w:rPr>
              <w:t>Version</w:t>
            </w:r>
          </w:p>
        </w:tc>
        <w:tc>
          <w:tcPr>
            <w:tcW w:type="dxa" w:w="2268"/>
            <w:shd w:val="clear" w:color="auto" w:fill="FFFFFF"/>
          </w:tcPr>
          <w:p>
            <w:pPr>
              <w:spacing w:before="60" w:after="60"/>
            </w:pPr>
            <w:r>
              <w:rPr>
                <w:b w:val="0"/>
                <w:color w:val="111827"/>
                <w:sz w:val="19"/>
              </w:rPr>
              <w:t>1.0</w:t>
            </w:r>
          </w:p>
        </w:tc>
        <w:tc>
          <w:tcPr>
            <w:tcW w:type="dxa" w:w="2268"/>
            <w:shd w:val="clear" w:color="auto" w:fill="C2EDD6"/>
          </w:tcPr>
          <w:p>
            <w:pPr>
              <w:spacing w:before="60" w:after="60"/>
            </w:pPr>
            <w:r>
              <w:rPr>
                <w:b/>
                <w:color w:val="037A3A"/>
                <w:sz w:val="19"/>
              </w:rPr>
              <w:t>Status</w:t>
            </w:r>
          </w:p>
        </w:tc>
        <w:tc>
          <w:tcPr>
            <w:tcW w:type="dxa" w:w="2268"/>
            <w:shd w:val="clear" w:color="auto" w:fill="FFFFFF"/>
          </w:tcPr>
          <w:p>
            <w:pPr>
              <w:spacing w:before="60" w:after="60"/>
            </w:pPr>
            <w:r>
              <w:rPr>
                <w:b w:val="0"/>
                <w:color w:val="111827"/>
                <w:sz w:val="19"/>
              </w:rPr>
              <w:t>Active</w:t>
            </w:r>
          </w:p>
        </w:tc>
      </w:tr>
      <w:tr>
        <w:tc>
          <w:tcPr>
            <w:tcW w:type="dxa" w:w="2268"/>
            <w:shd w:val="clear" w:color="auto" w:fill="E6F8EF"/>
          </w:tcPr>
          <w:p>
            <w:pPr>
              <w:spacing w:before="60" w:after="60"/>
            </w:pPr>
            <w:r>
              <w:rPr>
                <w:b/>
                <w:color w:val="037A3A"/>
                <w:sz w:val="19"/>
              </w:rPr>
              <w:t>Date Adopted</w:t>
            </w:r>
          </w:p>
        </w:tc>
        <w:tc>
          <w:tcPr>
            <w:tcW w:type="dxa" w:w="2268"/>
            <w:shd w:val="clear" w:color="auto" w:fill="FFFFFF"/>
          </w:tcPr>
          <w:p>
            <w:pPr>
              <w:spacing w:before="60" w:after="60"/>
            </w:pPr>
            <w:r>
              <w:rPr>
                <w:b w:val="0"/>
                <w:color w:val="111827"/>
                <w:sz w:val="19"/>
              </w:rPr>
              <w:t>[DD Month YYYY]</w:t>
            </w:r>
          </w:p>
        </w:tc>
        <w:tc>
          <w:tcPr>
            <w:tcW w:type="dxa" w:w="2268"/>
            <w:shd w:val="clear" w:color="auto" w:fill="E6F8EF"/>
          </w:tcPr>
          <w:p>
            <w:pPr>
              <w:spacing w:before="60" w:after="60"/>
            </w:pPr>
            <w:r>
              <w:rPr>
                <w:b/>
                <w:color w:val="037A3A"/>
                <w:sz w:val="19"/>
              </w:rPr>
              <w:t>Next Review Date</w:t>
            </w:r>
          </w:p>
        </w:tc>
        <w:tc>
          <w:tcPr>
            <w:tcW w:type="dxa" w:w="2268"/>
            <w:shd w:val="clear" w:color="auto" w:fill="FFFFFF"/>
          </w:tcPr>
          <w:p>
            <w:pPr>
              <w:spacing w:before="60" w:after="60"/>
            </w:pPr>
            <w:r>
              <w:rPr>
                <w:b w:val="0"/>
                <w:color w:val="111827"/>
                <w:sz w:val="19"/>
              </w:rPr>
              <w:t>Annually</w:t>
            </w:r>
          </w:p>
        </w:tc>
      </w:tr>
      <w:tr>
        <w:tc>
          <w:tcPr>
            <w:tcW w:type="dxa" w:w="2268"/>
            <w:shd w:val="clear" w:color="auto" w:fill="C2EDD6"/>
          </w:tcPr>
          <w:p>
            <w:pPr>
              <w:spacing w:before="60" w:after="60"/>
            </w:pPr>
            <w:r>
              <w:rPr>
                <w:b/>
                <w:color w:val="037A3A"/>
                <w:sz w:val="19"/>
              </w:rPr>
              <w:t>Approved By</w:t>
            </w:r>
          </w:p>
        </w:tc>
        <w:tc>
          <w:tcPr>
            <w:tcW w:type="dxa" w:w="2268"/>
            <w:shd w:val="clear" w:color="auto" w:fill="FFFFFF"/>
          </w:tcPr>
          <w:p>
            <w:pPr>
              <w:spacing w:before="60" w:after="60"/>
            </w:pPr>
            <w:r>
              <w:rPr>
                <w:b w:val="0"/>
                <w:color w:val="111827"/>
                <w:sz w:val="19"/>
              </w:rPr>
              <w:t>Trustees</w:t>
            </w:r>
          </w:p>
        </w:tc>
        <w:tc>
          <w:tcPr>
            <w:tcW w:type="dxa" w:w="2268"/>
            <w:shd w:val="clear" w:color="auto" w:fill="C2EDD6"/>
          </w:tcPr>
          <w:p>
            <w:pPr>
              <w:spacing w:before="60" w:after="60"/>
            </w:pPr>
            <w:r>
              <w:rPr>
                <w:b/>
                <w:color w:val="037A3A"/>
                <w:sz w:val="19"/>
              </w:rPr>
              <w:t>Applies To</w:t>
            </w:r>
          </w:p>
        </w:tc>
        <w:tc>
          <w:tcPr>
            <w:tcW w:type="dxa" w:w="2268"/>
            <w:shd w:val="clear" w:color="auto" w:fill="FFFFFF"/>
          </w:tcPr>
          <w:p>
            <w:pPr>
              <w:spacing w:before="60" w:after="60"/>
            </w:pPr>
            <w:r>
              <w:rPr>
                <w:b w:val="0"/>
                <w:color w:val="111827"/>
                <w:sz w:val="19"/>
              </w:rPr>
              <w:t>All Volunteers &amp; Trustees</w:t>
            </w:r>
          </w:p>
        </w:tc>
      </w:tr>
    </w:tbl>
    <w:p/>
    <w:p>
      <w:pPr>
        <w:shd w:val="clear" w:color="auto" w:fill="E6F8EF"/>
        <w:spacing w:before="80" w:after="160"/>
        <w:pBdr>
          <w:left w:val="single" w:sz="24" w:space="12" w:color="05A44E"/>
        </w:pBdr>
      </w:pPr>
      <w:r>
        <w:rPr>
          <w:i/>
          <w:color w:val="111827"/>
          <w:sz w:val="21"/>
        </w:rPr>
        <w:t>Forgotten Felines is committed to providing an environment free from discrimination, where everyone is treated fairly, with dignity and respect. The aim is to resolve any complaints or issues that occur as early as possible, and informally where possible. All complaints of bullying or harassment will be taken seriously and will be investigated fairly and independently.</w:t>
      </w:r>
    </w:p>
    <w:p/>
    <w:p>
      <w:pPr>
        <w:spacing w:before="0" w:after="120"/>
      </w:pPr>
      <w:r>
        <w:rPr>
          <w:sz w:val="22"/>
        </w:rPr>
        <w:t>Forgotten Felines is committed to providing an environment free from discrimination, where everyone is treated fairly, with dignity and respect. The aim is to resolve any complaints or issues that occur as early as possible, and informally where possible. All complaints of bullying or harassment will be taken seriously and will be investigated fairly and independently.</w:t>
      </w:r>
    </w:p>
    <w:p>
      <w:pPr>
        <w:spacing w:before="280" w:after="120"/>
        <w:pBdr>
          <w:bottom w:val="single" w:sz="6" w:space="2" w:color="C2EDD6"/>
        </w:pBdr>
      </w:pPr>
      <w:r>
        <w:rPr>
          <w:b/>
          <w:color w:val="FFFFFF"/>
          <w:sz w:val="20"/>
          <w:shd w:val="clear" w:color="auto" w:fill="05A44E"/>
        </w:rPr>
        <w:t xml:space="preserve"> 1 </w:t>
      </w:r>
      <w:r>
        <w:t xml:space="preserve">  </w:t>
      </w:r>
      <w:r>
        <w:rPr>
          <w:b/>
          <w:color w:val="037A3A"/>
          <w:sz w:val="26"/>
        </w:rPr>
        <w:t>What Is Bullying?</w:t>
      </w:r>
    </w:p>
    <w:p>
      <w:pPr>
        <w:shd w:val="clear" w:color="auto" w:fill="E6F8EF"/>
        <w:spacing w:before="80" w:after="80"/>
        <w:pBdr>
          <w:left w:val="single" w:sz="18" w:space="12" w:color="05A44E"/>
        </w:pBdr>
      </w:pPr>
      <w:r>
        <w:rPr>
          <w:i/>
          <w:color w:val="111827"/>
          <w:sz w:val="21"/>
        </w:rPr>
        <w:t>"Bullying is the repetitive, intentional hurting of one person or group by another person or group, where the relationship involves an imbalance of power. It can happen face to face or online."</w:t>
      </w:r>
    </w:p>
    <w:p>
      <w:pPr>
        <w:spacing w:before="0" w:after="120"/>
      </w:pPr>
      <w:r>
        <w:rPr>
          <w:sz w:val="22"/>
        </w:rPr>
        <w:t>There are four key elements to this definition:</w:t>
      </w:r>
    </w:p>
    <w:p>
      <w:pPr>
        <w:pStyle w:val="ListBullet"/>
        <w:spacing w:before="0" w:after="60"/>
      </w:pPr>
      <w:r>
        <w:rPr>
          <w:b/>
          <w:sz w:val="22"/>
        </w:rPr>
        <w:t>Hurtful</w:t>
      </w:r>
    </w:p>
    <w:p>
      <w:pPr>
        <w:pStyle w:val="ListBullet"/>
        <w:spacing w:before="0" w:after="60"/>
      </w:pPr>
      <w:r>
        <w:rPr>
          <w:b/>
          <w:sz w:val="22"/>
        </w:rPr>
        <w:t>Repetition</w:t>
      </w:r>
    </w:p>
    <w:p>
      <w:pPr>
        <w:pStyle w:val="ListBullet"/>
        <w:spacing w:before="0" w:after="60"/>
      </w:pPr>
      <w:r>
        <w:rPr>
          <w:b/>
          <w:sz w:val="22"/>
        </w:rPr>
        <w:t>Power imbalance</w:t>
      </w:r>
    </w:p>
    <w:p>
      <w:pPr>
        <w:pStyle w:val="ListBullet"/>
        <w:spacing w:before="0" w:after="60"/>
      </w:pPr>
      <w:r>
        <w:rPr>
          <w:b/>
          <w:sz w:val="22"/>
        </w:rPr>
        <w:t>Intentional</w:t>
      </w:r>
    </w:p>
    <w:p>
      <w:pPr>
        <w:spacing w:before="160" w:after="40"/>
      </w:pPr>
      <w:r>
        <w:rPr>
          <w:b/>
          <w:color w:val="111827"/>
          <w:sz w:val="22"/>
        </w:rPr>
        <w:t>Forms of Bullying Behaviour</w:t>
      </w:r>
    </w:p>
    <w:p>
      <w:pPr>
        <w:pStyle w:val="ListBullet"/>
        <w:spacing w:before="0" w:after="60"/>
      </w:pPr>
      <w:r>
        <w:rPr>
          <w:b/>
          <w:sz w:val="22"/>
        </w:rPr>
        <w:t>Physical</w:t>
      </w:r>
      <w:r>
        <w:rPr>
          <w:sz w:val="22"/>
        </w:rPr>
        <w:t xml:space="preserve"> — pushing, poking, kicking, hitting, biting, pinching, etc.</w:t>
      </w:r>
    </w:p>
    <w:p>
      <w:pPr>
        <w:pStyle w:val="ListBullet"/>
        <w:spacing w:before="0" w:after="60"/>
      </w:pPr>
      <w:r>
        <w:rPr>
          <w:b/>
          <w:sz w:val="22"/>
        </w:rPr>
        <w:t>Verbal</w:t>
      </w:r>
      <w:r>
        <w:rPr>
          <w:sz w:val="22"/>
        </w:rPr>
        <w:t xml:space="preserve"> — name calling, sarcasm, spreading rumours, threats, teasing, belittling</w:t>
      </w:r>
    </w:p>
    <w:p>
      <w:pPr>
        <w:pStyle w:val="ListBullet"/>
        <w:spacing w:before="0" w:after="60"/>
      </w:pPr>
      <w:r>
        <w:rPr>
          <w:b/>
          <w:sz w:val="22"/>
        </w:rPr>
        <w:t>Emotional</w:t>
      </w:r>
      <w:r>
        <w:rPr>
          <w:sz w:val="22"/>
        </w:rPr>
        <w:t xml:space="preserve"> — isolating others, tormenting, hiding books, threatening gestures, ridicule, humiliation, intimidating, excluding, manipulation and coercion</w:t>
      </w:r>
    </w:p>
    <w:p>
      <w:pPr>
        <w:pStyle w:val="ListBullet"/>
        <w:spacing w:before="0" w:after="60"/>
      </w:pPr>
      <w:r>
        <w:rPr>
          <w:b/>
          <w:sz w:val="22"/>
        </w:rPr>
        <w:t>Sexual</w:t>
      </w:r>
      <w:r>
        <w:rPr>
          <w:sz w:val="22"/>
        </w:rPr>
        <w:t xml:space="preserve"> — unwanted physical contact, inappropriate touching, abusive comments, homophobic abuse, exposure to inappropriate films, etc.</w:t>
      </w:r>
    </w:p>
    <w:p>
      <w:pPr>
        <w:pStyle w:val="ListBullet"/>
        <w:spacing w:before="0" w:after="60"/>
      </w:pPr>
      <w:r>
        <w:rPr>
          <w:b/>
          <w:sz w:val="22"/>
        </w:rPr>
        <w:t>Online / cyber</w:t>
      </w:r>
      <w:r>
        <w:rPr>
          <w:sz w:val="22"/>
        </w:rPr>
        <w:t xml:space="preserve"> — posting on social media, sharing photos, sending nasty text messages, social exclusion</w:t>
      </w:r>
    </w:p>
    <w:p>
      <w:pPr>
        <w:pStyle w:val="ListBullet"/>
        <w:spacing w:before="0" w:after="60"/>
      </w:pPr>
      <w:r>
        <w:rPr>
          <w:b/>
          <w:sz w:val="22"/>
        </w:rPr>
        <w:t>Indirect</w:t>
      </w:r>
      <w:r>
        <w:rPr>
          <w:sz w:val="22"/>
        </w:rPr>
        <w:t xml:space="preserve"> — exploitation of individuals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2 </w:t>
      </w:r>
      <w:r>
        <w:t xml:space="preserve">  </w:t>
      </w:r>
      <w:r>
        <w:rPr>
          <w:b/>
          <w:color w:val="037A3A"/>
          <w:sz w:val="26"/>
        </w:rPr>
        <w:t>What Is Harassment?</w:t>
      </w:r>
    </w:p>
    <w:p>
      <w:pPr>
        <w:spacing w:before="0" w:after="120"/>
      </w:pPr>
      <w:r>
        <w:rPr>
          <w:sz w:val="22"/>
        </w:rPr>
        <w:t xml:space="preserve">The Equality Act 2010 defines harassment as: </w:t>
      </w:r>
      <w:r>
        <w:rPr>
          <w:i/>
          <w:sz w:val="22"/>
        </w:rPr>
        <w:t>"unwanted conduct related to a protective characteristic which has the purpose or effect of violating an individual's dignity or creating an intimidating, hostile, degrading, humiliating or offensive environment for that individual."</w:t>
      </w:r>
    </w:p>
    <w:p>
      <w:pPr>
        <w:spacing w:before="0" w:after="120"/>
      </w:pPr>
      <w:r>
        <w:rPr>
          <w:sz w:val="22"/>
        </w:rPr>
        <w:t>Harassment can also occur when an individual conducts themselves in a manner which is unwelcome, unwarranted, and causes a detrimental effect on the recipient.</w:t>
      </w:r>
    </w:p>
    <w:p>
      <w:pPr>
        <w:spacing w:before="160" w:after="40"/>
      </w:pPr>
      <w:r>
        <w:rPr>
          <w:b/>
          <w:color w:val="111827"/>
          <w:sz w:val="22"/>
        </w:rPr>
        <w:t>Protected Characteristics (Equality Act 2010)</w:t>
      </w:r>
    </w:p>
    <w:p>
      <w:pPr>
        <w:pStyle w:val="ListBullet"/>
        <w:spacing w:before="0" w:after="60"/>
      </w:pPr>
      <w:r>
        <w:rPr>
          <w:sz w:val="22"/>
        </w:rPr>
        <w:t>Age</w:t>
      </w:r>
    </w:p>
    <w:p>
      <w:pPr>
        <w:pStyle w:val="ListBullet"/>
        <w:spacing w:before="0" w:after="60"/>
      </w:pPr>
      <w:r>
        <w:rPr>
          <w:sz w:val="22"/>
        </w:rPr>
        <w:t>Disability</w:t>
      </w:r>
    </w:p>
    <w:p>
      <w:pPr>
        <w:pStyle w:val="ListBullet"/>
        <w:spacing w:before="0" w:after="60"/>
      </w:pPr>
      <w:r>
        <w:rPr>
          <w:sz w:val="22"/>
        </w:rPr>
        <w:t>Gender reassignment</w:t>
      </w:r>
    </w:p>
    <w:p>
      <w:pPr>
        <w:pStyle w:val="ListBullet"/>
        <w:spacing w:before="0" w:after="60"/>
      </w:pPr>
      <w:r>
        <w:rPr>
          <w:sz w:val="22"/>
        </w:rPr>
        <w:t>Marriage or civil partnership</w:t>
      </w:r>
    </w:p>
    <w:p>
      <w:pPr>
        <w:pStyle w:val="ListBullet"/>
        <w:spacing w:before="0" w:after="60"/>
      </w:pPr>
      <w:r>
        <w:rPr>
          <w:sz w:val="22"/>
        </w:rPr>
        <w:t>Pregnancy and maternity</w:t>
      </w:r>
    </w:p>
    <w:p>
      <w:pPr>
        <w:pStyle w:val="ListBullet"/>
        <w:spacing w:before="0" w:after="60"/>
      </w:pPr>
      <w:r>
        <w:rPr>
          <w:sz w:val="22"/>
        </w:rPr>
        <w:t>Race</w:t>
      </w:r>
    </w:p>
    <w:p>
      <w:pPr>
        <w:pStyle w:val="ListBullet"/>
        <w:spacing w:before="0" w:after="60"/>
      </w:pPr>
      <w:r>
        <w:rPr>
          <w:sz w:val="22"/>
        </w:rPr>
        <w:t>Religion or belief</w:t>
      </w:r>
    </w:p>
    <w:p>
      <w:pPr>
        <w:pStyle w:val="ListBullet"/>
        <w:spacing w:before="0" w:after="60"/>
      </w:pPr>
      <w:r>
        <w:rPr>
          <w:sz w:val="22"/>
        </w:rPr>
        <w:t>Sex</w:t>
      </w:r>
    </w:p>
    <w:p>
      <w:pPr>
        <w:pStyle w:val="ListBullet"/>
        <w:spacing w:before="0" w:after="60"/>
      </w:pPr>
      <w:r>
        <w:rPr>
          <w:sz w:val="22"/>
        </w:rPr>
        <w:t>Sexual orientation</w:t>
      </w:r>
    </w:p>
    <w:p>
      <w:pPr>
        <w:spacing w:before="160" w:after="40"/>
      </w:pPr>
      <w:r>
        <w:rPr>
          <w:b/>
          <w:color w:val="111827"/>
          <w:sz w:val="22"/>
        </w:rPr>
        <w:t>Extended Application</w:t>
      </w:r>
    </w:p>
    <w:p>
      <w:pPr>
        <w:spacing w:before="0" w:after="120"/>
      </w:pPr>
      <w:r>
        <w:rPr>
          <w:sz w:val="22"/>
        </w:rPr>
        <w:t>Harassment law also applies to:</w:t>
      </w:r>
    </w:p>
    <w:p>
      <w:pPr>
        <w:pStyle w:val="ListBullet"/>
        <w:spacing w:before="0" w:after="60"/>
      </w:pPr>
      <w:r>
        <w:rPr>
          <w:sz w:val="22"/>
        </w:rPr>
        <w:t xml:space="preserve">A person harassed because they are </w:t>
      </w:r>
      <w:r>
        <w:rPr>
          <w:b/>
          <w:sz w:val="22"/>
        </w:rPr>
        <w:t>perceived</w:t>
      </w:r>
      <w:r>
        <w:rPr>
          <w:sz w:val="22"/>
        </w:rPr>
        <w:t xml:space="preserve"> to have a protected characteristic when they do not</w:t>
      </w:r>
    </w:p>
    <w:p>
      <w:pPr>
        <w:pStyle w:val="ListBullet"/>
        <w:spacing w:before="0" w:after="60"/>
      </w:pPr>
      <w:r>
        <w:rPr>
          <w:sz w:val="22"/>
        </w:rPr>
        <w:t xml:space="preserve">A person harassed because they are </w:t>
      </w:r>
      <w:r>
        <w:rPr>
          <w:b/>
          <w:sz w:val="22"/>
        </w:rPr>
        <w:t>associated</w:t>
      </w:r>
      <w:r>
        <w:rPr>
          <w:sz w:val="22"/>
        </w:rPr>
        <w:t xml:space="preserve"> with someone who has a protected characteristic</w:t>
      </w:r>
    </w:p>
    <w:p>
      <w:pPr>
        <w:pStyle w:val="ListBullet"/>
        <w:spacing w:before="0" w:after="60"/>
      </w:pPr>
      <w:r>
        <w:rPr>
          <w:sz w:val="22"/>
        </w:rPr>
        <w:t xml:space="preserve">A person who </w:t>
      </w:r>
      <w:r>
        <w:rPr>
          <w:b/>
          <w:sz w:val="22"/>
        </w:rPr>
        <w:t>witnesses</w:t>
      </w:r>
      <w:r>
        <w:rPr>
          <w:sz w:val="22"/>
        </w:rPr>
        <w:t xml:space="preserve"> harassment and is upset by it, even if it is not directed at them</w:t>
      </w:r>
    </w:p>
    <w:p>
      <w:pPr>
        <w:spacing w:before="0" w:after="120"/>
      </w:pPr>
      <w:r>
        <w:rPr>
          <w:sz w:val="22"/>
        </w:rPr>
        <w:t>Harassment is unlawful and may be the subject of criminal or civil proceedings. It remains unlawful even if the person being harassed does not ask for it to stop.</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3 </w:t>
      </w:r>
      <w:r>
        <w:t xml:space="preserve">  </w:t>
      </w:r>
      <w:r>
        <w:rPr>
          <w:b/>
          <w:color w:val="037A3A"/>
          <w:sz w:val="26"/>
        </w:rPr>
        <w:t>Our Commitment</w:t>
      </w:r>
    </w:p>
    <w:p>
      <w:pPr>
        <w:spacing w:before="0" w:after="120"/>
      </w:pPr>
      <w:r>
        <w:rPr>
          <w:sz w:val="22"/>
        </w:rPr>
        <w:t>Forgotten Felines Cat Rescue is committed to creating an inclusive, fair culture where bullying and harassment will not be tolerated.</w:t>
      </w:r>
    </w:p>
    <w:p>
      <w:pPr>
        <w:spacing w:before="0" w:after="120"/>
      </w:pPr>
      <w:r>
        <w:rPr>
          <w:sz w:val="22"/>
        </w:rPr>
        <w:t>Everyone has the right to be treated with dignity, fairness, and respect, and is expected to behave accordingly. A harmonious and supportive environment is essential to ensuring that everyone works and communicates appropriately.</w:t>
      </w:r>
    </w:p>
    <w:p>
      <w:pPr>
        <w:spacing w:before="0" w:after="120"/>
      </w:pPr>
      <w:r>
        <w:rPr>
          <w:b/>
          <w:sz w:val="22"/>
        </w:rPr>
        <w:t>Bullying and harassment is unlawful and will not be tolerated.</w:t>
      </w:r>
      <w:r>
        <w:rPr>
          <w:sz w:val="22"/>
        </w:rPr>
        <w:t xml:space="preserve"> This includes victimisation of individuals who make complaints, or those associated with anyone who makes a complaint.</w:t>
      </w:r>
    </w:p>
    <w:p>
      <w:pPr>
        <w:spacing w:before="0" w:after="120"/>
      </w:pPr>
      <w:r>
        <w:rPr>
          <w:sz w:val="22"/>
        </w:rPr>
        <w:t>Complaints will be investigated and dealt with whether or not the person raising the complaint submitted to or rejected a particular instance of harassment.</w:t>
      </w:r>
    </w:p>
    <w:p>
      <w:pPr>
        <w:spacing w:before="0" w:after="120"/>
      </w:pPr>
      <w:r>
        <w:rPr>
          <w:sz w:val="22"/>
        </w:rPr>
        <w:t>Malicious or vexatious allegations will be dealt with by Bev Hibbert (Founder) in line with Charity Commission guidelines.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4 </w:t>
      </w:r>
      <w:r>
        <w:t xml:space="preserve">  </w:t>
      </w:r>
      <w:r>
        <w:rPr>
          <w:b/>
          <w:color w:val="037A3A"/>
          <w:sz w:val="26"/>
        </w:rPr>
        <w:t>Complaints Procedure</w:t>
      </w:r>
    </w:p>
    <w:p>
      <w:pPr>
        <w:pStyle w:val="ListNumber"/>
        <w:spacing w:before="0" w:after="60"/>
      </w:pPr>
      <w:r>
        <w:rPr>
          <w:sz w:val="22"/>
        </w:rPr>
        <w:t xml:space="preserve">All complaints of bullying or harassment must be made to </w:t>
      </w:r>
      <w:r>
        <w:rPr>
          <w:b/>
          <w:sz w:val="22"/>
        </w:rPr>
        <w:t>Bev Hibbert (Founder)</w:t>
      </w:r>
      <w:r>
        <w:rPr>
          <w:sz w:val="22"/>
        </w:rPr>
        <w:t>. This can be by email, phone call, or message.</w:t>
      </w:r>
    </w:p>
    <w:p>
      <w:pPr>
        <w:pStyle w:val="ListNumber"/>
        <w:spacing w:before="0" w:after="60"/>
      </w:pPr>
      <w:r>
        <w:rPr>
          <w:sz w:val="22"/>
        </w:rPr>
        <w:t>All complaints will be investigated to establish further information and gather evidence — including complaints where the recipient did not react or respond at the time.</w:t>
      </w:r>
    </w:p>
    <w:p>
      <w:pPr>
        <w:pStyle w:val="ListNumber"/>
        <w:spacing w:before="0" w:after="60"/>
      </w:pPr>
      <w:r>
        <w:rPr>
          <w:sz w:val="22"/>
        </w:rPr>
        <w:t>Based on information gathered and statements taken, the Trustees will decide on the severity of the complaint. If the allegation is against a Trustee, Bev Hibbert will lead the investigation.</w:t>
      </w:r>
    </w:p>
    <w:p>
      <w:pPr>
        <w:pStyle w:val="ListNumber"/>
        <w:spacing w:before="0" w:after="60"/>
      </w:pPr>
      <w:r>
        <w:rPr>
          <w:sz w:val="22"/>
        </w:rPr>
        <w:t>If witnesses request their identity to be protected, this will be upheld to avoid further conflict.</w:t>
      </w:r>
    </w:p>
    <w:p>
      <w:pPr>
        <w:pStyle w:val="ListNumber"/>
        <w:spacing w:before="0" w:after="60"/>
      </w:pPr>
      <w:r>
        <w:rPr>
          <w:sz w:val="22"/>
        </w:rPr>
        <w:t>Appropriate action will be taken and safeguarding procedures implemented. If a bullying accusation is upheld, the volunteer or trustee will be asked to leave the charity.</w:t>
      </w:r>
    </w:p>
    <w:p>
      <w:pPr>
        <w:spacing w:before="80" w:after="80"/>
        <w:pBdr>
          <w:bottom w:val="single" w:sz="6" w:space="1" w:color="C2EDD6"/>
        </w:pBdr>
      </w:pP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5 </w:t>
      </w:r>
      <w:r>
        <w:t xml:space="preserve">  </w:t>
      </w:r>
      <w:r>
        <w:rPr>
          <w:b/>
          <w:color w:val="037A3A"/>
          <w:sz w:val="26"/>
        </w:rPr>
        <w:t>Review &amp; Approval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5A44E"/>
          </w:tcPr>
          <w:p>
            <w:pPr>
              <w:spacing w:before="80" w:after="80"/>
            </w:pPr>
            <w:r>
              <w:rPr>
                <w:b/>
                <w:color w:val="FFFFFF"/>
                <w:sz w:val="19"/>
              </w:rPr>
              <w:t>Name</w:t>
            </w:r>
          </w:p>
        </w:tc>
        <w:tc>
          <w:tcPr>
            <w:tcW w:type="dxa" w:w="2268"/>
            <w:shd w:val="clear" w:color="auto" w:fill="05A44E"/>
          </w:tcPr>
          <w:p>
            <w:pPr>
              <w:spacing w:before="80" w:after="80"/>
            </w:pPr>
            <w:r>
              <w:rPr>
                <w:b/>
                <w:color w:val="FFFFFF"/>
                <w:sz w:val="19"/>
              </w:rPr>
              <w:t>Role</w:t>
            </w:r>
          </w:p>
        </w:tc>
        <w:tc>
          <w:tcPr>
            <w:tcW w:type="dxa" w:w="2268"/>
            <w:shd w:val="clear" w:color="auto" w:fill="05A44E"/>
          </w:tcPr>
          <w:p>
            <w:pPr>
              <w:spacing w:before="80" w:after="80"/>
            </w:pPr>
            <w:r>
              <w:rPr>
                <w:b/>
                <w:color w:val="FFFFFF"/>
                <w:sz w:val="19"/>
              </w:rPr>
              <w:t>Signature</w:t>
            </w:r>
          </w:p>
        </w:tc>
        <w:tc>
          <w:tcPr>
            <w:tcW w:type="dxa" w:w="2268"/>
            <w:shd w:val="clear" w:color="auto" w:fill="05A44E"/>
          </w:tcPr>
          <w:p>
            <w:pPr>
              <w:spacing w:before="80" w:after="80"/>
            </w:pPr>
            <w:r>
              <w:rPr>
                <w:b/>
                <w:color w:val="FFFFFF"/>
                <w:sz w:val="19"/>
              </w:rPr>
              <w:t>Date</w:t>
            </w:r>
          </w:p>
        </w:tc>
      </w:tr>
      <w:tr>
        <w:tc>
          <w:tcPr>
            <w:tcW w:type="dxa" w:w="2268"/>
            <w:shd w:val="clear" w:color="auto" w:fill="FFFFFF"/>
          </w:tcPr>
          <w:p>
            <w:pPr>
              <w:spacing w:before="320" w:after="320"/>
            </w:pPr>
            <w:r>
              <w:rPr>
                <w:sz w:val="20"/>
              </w:rPr>
              <w:t>Bev Hibbert</w:t>
            </w:r>
          </w:p>
        </w:tc>
        <w:tc>
          <w:tcPr>
            <w:tcW w:type="dxa" w:w="2268"/>
            <w:shd w:val="clear" w:color="auto" w:fill="FFFFFF"/>
          </w:tcPr>
          <w:p>
            <w:pPr>
              <w:spacing w:before="320" w:after="320"/>
            </w:pPr>
            <w:r>
              <w:rPr>
                <w:sz w:val="20"/>
              </w:rPr>
              <w:t>Founder</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r>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t>Trustee</w:t>
            </w:r>
          </w:p>
        </w:tc>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r>
          </w:p>
        </w:tc>
      </w:tr>
      <w:tr>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t>Trustee</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bl>
    <w:p/>
    <w:p>
      <w:pPr>
        <w:spacing w:before="280" w:after="120"/>
        <w:pBdr>
          <w:bottom w:val="single" w:sz="6" w:space="2" w:color="C2EDD6"/>
        </w:pBdr>
      </w:pPr>
      <w:r>
        <w:rPr>
          <w:b/>
          <w:color w:val="FFFFFF"/>
          <w:sz w:val="20"/>
          <w:shd w:val="clear" w:color="auto" w:fill="05A44E"/>
        </w:rPr>
        <w:t xml:space="preserve"> 6 </w:t>
      </w:r>
      <w:r>
        <w:t xml:space="preserve">  </w:t>
      </w:r>
      <w:r>
        <w:rPr>
          <w:b/>
          <w:color w:val="037A3A"/>
          <w:sz w:val="26"/>
        </w:rPr>
        <w:t>Version History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11827"/>
          </w:tcPr>
          <w:p>
            <w:pPr>
              <w:spacing w:before="80" w:after="80"/>
            </w:pPr>
            <w:r>
              <w:rPr>
                <w:b/>
                <w:color w:val="FFFFFF"/>
                <w:sz w:val="19"/>
              </w:rPr>
              <w:t>Version</w:t>
            </w:r>
          </w:p>
        </w:tc>
        <w:tc>
          <w:tcPr>
            <w:tcW w:type="dxa" w:w="2268"/>
            <w:shd w:val="clear" w:color="auto" w:fill="111827"/>
          </w:tcPr>
          <w:p>
            <w:pPr>
              <w:spacing w:before="80" w:after="80"/>
            </w:pPr>
            <w:r>
              <w:rPr>
                <w:b/>
                <w:color w:val="FFFFFF"/>
                <w:sz w:val="19"/>
              </w:rPr>
              <w:t>Date</w:t>
            </w:r>
          </w:p>
        </w:tc>
        <w:tc>
          <w:tcPr>
            <w:tcW w:type="dxa" w:w="2268"/>
            <w:shd w:val="clear" w:color="auto" w:fill="111827"/>
          </w:tcPr>
          <w:p>
            <w:pPr>
              <w:spacing w:before="80" w:after="80"/>
            </w:pPr>
            <w:r>
              <w:rPr>
                <w:b/>
                <w:color w:val="FFFFFF"/>
                <w:sz w:val="19"/>
              </w:rPr>
              <w:t>Author</w:t>
            </w:r>
          </w:p>
        </w:tc>
        <w:tc>
          <w:tcPr>
            <w:tcW w:type="dxa" w:w="2268"/>
            <w:shd w:val="clear" w:color="auto" w:fill="111827"/>
          </w:tcPr>
          <w:p>
            <w:pPr>
              <w:spacing w:before="80" w:after="80"/>
            </w:pPr>
            <w:r>
              <w:rPr>
                <w:b/>
                <w:color w:val="FFFFFF"/>
                <w:sz w:val="19"/>
              </w:rPr>
              <w:t>Changes</w:t>
            </w:r>
          </w:p>
        </w:tc>
      </w:tr>
      <w:tr>
        <w:tc>
          <w:tcPr>
            <w:tcW w:type="dxa" w:w="2268"/>
            <w:shd w:val="clear" w:color="auto" w:fill="FFFFFF"/>
          </w:tcPr>
          <w:p>
            <w:pPr>
              <w:spacing w:before="60" w:after="60"/>
            </w:pPr>
            <w:r>
              <w:rPr>
                <w:sz w:val="20"/>
              </w:rPr>
              <w:t>1.0</w:t>
            </w:r>
          </w:p>
        </w:tc>
        <w:tc>
          <w:tcPr>
            <w:tcW w:type="dxa" w:w="2268"/>
            <w:shd w:val="clear" w:color="auto" w:fill="FFFFFF"/>
          </w:tcPr>
          <w:p>
            <w:pPr>
              <w:spacing w:before="60" w:after="60"/>
            </w:pPr>
            <w:r>
              <w:rPr>
                <w:sz w:val="20"/>
              </w:rPr>
              <w:t>[DD Month YYYY]</w:t>
            </w:r>
          </w:p>
        </w:tc>
        <w:tc>
          <w:tcPr>
            <w:tcW w:type="dxa" w:w="2268"/>
            <w:shd w:val="clear" w:color="auto" w:fill="FFFFFF"/>
          </w:tcPr>
          <w:p>
            <w:pPr>
              <w:spacing w:before="60" w:after="60"/>
            </w:pPr>
            <w:r>
              <w:rPr>
                <w:sz w:val="20"/>
              </w:rPr>
              <w:t>Trustees</w:t>
            </w:r>
          </w:p>
        </w:tc>
        <w:tc>
          <w:tcPr>
            <w:tcW w:type="dxa" w:w="2268"/>
            <w:shd w:val="clear" w:color="auto" w:fill="FFFFFF"/>
          </w:tcPr>
          <w:p>
            <w:pPr>
              <w:spacing w:before="60" w:after="60"/>
            </w:pPr>
            <w:r>
              <w:rPr>
                <w:sz w:val="20"/>
              </w:rPr>
              <w:t>Initial version</w:t>
            </w:r>
          </w:p>
        </w:tc>
      </w:tr>
      <w:tr>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r>
    </w:tbl>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Bullying and Harassment Policy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