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5A44E"/>
        <w:spacing w:before="0" w:after="0"/>
      </w:pPr>
      <w:r>
        <w:rPr>
          <w:b/>
          <w:color w:val="FFFFFF"/>
          <w:sz w:val="17"/>
        </w:rPr>
        <w:t>POLICY DOCUMENT</w:t>
      </w:r>
    </w:p>
    <w:p>
      <w:pPr>
        <w:shd w:val="clear" w:color="auto" w:fill="05A44E"/>
        <w:spacing w:before="0" w:after="240"/>
      </w:pPr>
      <w:r>
        <w:rPr>
          <w:color w:val="FFFFFF"/>
          <w:sz w:val="44"/>
        </w:rPr>
        <w:t>Forgotten Felines – Data Retention Policy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6F8EF"/>
          </w:tcPr>
          <w:p>
            <w:pPr>
              <w:spacing w:before="60" w:after="60"/>
            </w:pPr>
            <w:r>
              <w:rPr>
                <w:b/>
                <w:color w:val="037A3A"/>
                <w:sz w:val="19"/>
              </w:rPr>
              <w:t>Policy Number</w:t>
            </w:r>
          </w:p>
        </w:tc>
        <w:tc>
          <w:tcPr>
            <w:tcW w:type="dxa" w:w="2268"/>
            <w:shd w:val="clear" w:color="auto" w:fill="FFFFFF"/>
          </w:tcPr>
          <w:p>
            <w:pPr>
              <w:spacing w:before="60" w:after="60"/>
            </w:pPr>
            <w:r>
              <w:rPr>
                <w:b w:val="0"/>
                <w:color w:val="111827"/>
                <w:sz w:val="19"/>
              </w:rPr>
              <w:t>FF-DP-002</w:t>
            </w:r>
          </w:p>
        </w:tc>
        <w:tc>
          <w:tcPr>
            <w:tcW w:type="dxa" w:w="2268"/>
            <w:shd w:val="clear" w:color="auto" w:fill="E6F8EF"/>
          </w:tcPr>
          <w:p>
            <w:pPr>
              <w:spacing w:before="60" w:after="60"/>
            </w:pPr>
            <w:r>
              <w:rPr>
                <w:b/>
                <w:color w:val="037A3A"/>
                <w:sz w:val="19"/>
              </w:rPr>
              <w:t>Category</w:t>
            </w:r>
          </w:p>
        </w:tc>
        <w:tc>
          <w:tcPr>
            <w:tcW w:type="dxa" w:w="2268"/>
            <w:shd w:val="clear" w:color="auto" w:fill="FFFFFF"/>
          </w:tcPr>
          <w:p>
            <w:pPr>
              <w:spacing w:before="60" w:after="60"/>
            </w:pPr>
            <w:r>
              <w:rPr>
                <w:b w:val="0"/>
                <w:color w:val="111827"/>
                <w:sz w:val="19"/>
              </w:rPr>
              <w:t>Data Protection</w:t>
            </w:r>
          </w:p>
        </w:tc>
      </w:tr>
      <w:tr>
        <w:tc>
          <w:tcPr>
            <w:tcW w:type="dxa" w:w="2268"/>
            <w:shd w:val="clear" w:color="auto" w:fill="C2EDD6"/>
          </w:tcPr>
          <w:p>
            <w:pPr>
              <w:spacing w:before="60" w:after="60"/>
            </w:pPr>
            <w:r>
              <w:rPr>
                <w:b/>
                <w:color w:val="037A3A"/>
                <w:sz w:val="19"/>
              </w:rPr>
              <w:t>Version</w:t>
            </w:r>
          </w:p>
        </w:tc>
        <w:tc>
          <w:tcPr>
            <w:tcW w:type="dxa" w:w="2268"/>
            <w:shd w:val="clear" w:color="auto" w:fill="FFFFFF"/>
          </w:tcPr>
          <w:p>
            <w:pPr>
              <w:spacing w:before="60" w:after="60"/>
            </w:pPr>
            <w:r>
              <w:rPr>
                <w:b w:val="0"/>
                <w:color w:val="111827"/>
                <w:sz w:val="19"/>
              </w:rPr>
              <w:t>1.0</w:t>
            </w:r>
          </w:p>
        </w:tc>
        <w:tc>
          <w:tcPr>
            <w:tcW w:type="dxa" w:w="2268"/>
            <w:shd w:val="clear" w:color="auto" w:fill="C2EDD6"/>
          </w:tcPr>
          <w:p>
            <w:pPr>
              <w:spacing w:before="60" w:after="60"/>
            </w:pPr>
            <w:r>
              <w:rPr>
                <w:b/>
                <w:color w:val="037A3A"/>
                <w:sz w:val="19"/>
              </w:rPr>
              <w:t>Status</w:t>
            </w:r>
          </w:p>
        </w:tc>
        <w:tc>
          <w:tcPr>
            <w:tcW w:type="dxa" w:w="2268"/>
            <w:shd w:val="clear" w:color="auto" w:fill="FFFFFF"/>
          </w:tcPr>
          <w:p>
            <w:pPr>
              <w:spacing w:before="60" w:after="60"/>
            </w:pPr>
            <w:r>
              <w:rPr>
                <w:b w:val="0"/>
                <w:color w:val="111827"/>
                <w:sz w:val="19"/>
              </w:rPr>
              <w:t>Active</w:t>
            </w:r>
          </w:p>
        </w:tc>
      </w:tr>
      <w:tr>
        <w:tc>
          <w:tcPr>
            <w:tcW w:type="dxa" w:w="2268"/>
            <w:shd w:val="clear" w:color="auto" w:fill="E6F8EF"/>
          </w:tcPr>
          <w:p>
            <w:pPr>
              <w:spacing w:before="60" w:after="60"/>
            </w:pPr>
            <w:r>
              <w:rPr>
                <w:b/>
                <w:color w:val="037A3A"/>
                <w:sz w:val="19"/>
              </w:rPr>
              <w:t>Date Adopted</w:t>
            </w:r>
          </w:p>
        </w:tc>
        <w:tc>
          <w:tcPr>
            <w:tcW w:type="dxa" w:w="2268"/>
            <w:shd w:val="clear" w:color="auto" w:fill="FFFFFF"/>
          </w:tcPr>
          <w:p>
            <w:pPr>
              <w:spacing w:before="60" w:after="60"/>
            </w:pPr>
            <w:r>
              <w:rPr>
                <w:b w:val="0"/>
                <w:color w:val="111827"/>
                <w:sz w:val="19"/>
              </w:rPr>
              <w:t>[DD Month YYYY]</w:t>
            </w:r>
          </w:p>
        </w:tc>
        <w:tc>
          <w:tcPr>
            <w:tcW w:type="dxa" w:w="2268"/>
            <w:shd w:val="clear" w:color="auto" w:fill="E6F8EF"/>
          </w:tcPr>
          <w:p>
            <w:pPr>
              <w:spacing w:before="60" w:after="60"/>
            </w:pPr>
            <w:r>
              <w:rPr>
                <w:b/>
                <w:color w:val="037A3A"/>
                <w:sz w:val="19"/>
              </w:rPr>
              <w:t>Next Review Date</w:t>
            </w:r>
          </w:p>
        </w:tc>
        <w:tc>
          <w:tcPr>
            <w:tcW w:type="dxa" w:w="2268"/>
            <w:shd w:val="clear" w:color="auto" w:fill="FFFFFF"/>
          </w:tcPr>
          <w:p>
            <w:pPr>
              <w:spacing w:before="60" w:after="60"/>
            </w:pPr>
            <w:r>
              <w:rPr>
                <w:b w:val="0"/>
                <w:color w:val="111827"/>
                <w:sz w:val="19"/>
              </w:rPr>
              <w:t>Annually</w:t>
            </w:r>
          </w:p>
        </w:tc>
      </w:tr>
      <w:tr>
        <w:tc>
          <w:tcPr>
            <w:tcW w:type="dxa" w:w="2268"/>
            <w:shd w:val="clear" w:color="auto" w:fill="C2EDD6"/>
          </w:tcPr>
          <w:p>
            <w:pPr>
              <w:spacing w:before="60" w:after="60"/>
            </w:pPr>
            <w:r>
              <w:rPr>
                <w:b/>
                <w:color w:val="037A3A"/>
                <w:sz w:val="19"/>
              </w:rPr>
              <w:t>Approved By</w:t>
            </w:r>
          </w:p>
        </w:tc>
        <w:tc>
          <w:tcPr>
            <w:tcW w:type="dxa" w:w="2268"/>
            <w:shd w:val="clear" w:color="auto" w:fill="FFFFFF"/>
          </w:tcPr>
          <w:p>
            <w:pPr>
              <w:spacing w:before="60" w:after="60"/>
            </w:pPr>
            <w:r>
              <w:rPr>
                <w:b w:val="0"/>
                <w:color w:val="111827"/>
                <w:sz w:val="19"/>
              </w:rPr>
              <w:t>Trustees</w:t>
            </w:r>
          </w:p>
        </w:tc>
        <w:tc>
          <w:tcPr>
            <w:tcW w:type="dxa" w:w="2268"/>
            <w:shd w:val="clear" w:color="auto" w:fill="C2EDD6"/>
          </w:tcPr>
          <w:p>
            <w:pPr>
              <w:spacing w:before="60" w:after="60"/>
            </w:pPr>
            <w:r>
              <w:rPr>
                <w:b/>
                <w:color w:val="037A3A"/>
                <w:sz w:val="19"/>
              </w:rPr>
              <w:t>Applies To</w:t>
            </w:r>
          </w:p>
        </w:tc>
        <w:tc>
          <w:tcPr>
            <w:tcW w:type="dxa" w:w="2268"/>
            <w:shd w:val="clear" w:color="auto" w:fill="FFFFFF"/>
          </w:tcPr>
          <w:p>
            <w:pPr>
              <w:spacing w:before="60" w:after="60"/>
            </w:pPr>
            <w:r>
              <w:rPr>
                <w:b w:val="0"/>
                <w:color w:val="111827"/>
                <w:sz w:val="19"/>
              </w:rPr>
              <w:t>All Volunteers &amp; Trustees</w:t>
            </w:r>
          </w:p>
        </w:tc>
      </w:tr>
    </w:tbl>
    <w:p/>
    <w:p>
      <w:pPr>
        <w:shd w:val="clear" w:color="auto" w:fill="E6F8EF"/>
        <w:spacing w:before="80" w:after="160"/>
        <w:pBdr>
          <w:left w:val="single" w:sz="24" w:space="12" w:color="05A44E"/>
        </w:pBdr>
      </w:pPr>
      <w:r>
        <w:rPr>
          <w:i/>
          <w:color w:val="111827"/>
          <w:sz w:val="21"/>
        </w:rPr>
        <w:t>This Data Retention Policy outlines how Forgotten Felines stores, manages, and deletes personal information in compliance with the UK General Data Protection Regulation (GDPR). Data will be kept only for as long as necessary for the purposes for which it was collected.</w:t>
      </w:r>
    </w:p>
    <w:p/>
    <w:p>
      <w:pPr>
        <w:spacing w:before="280" w:after="120"/>
        <w:pBdr>
          <w:bottom w:val="single" w:sz="6" w:space="2" w:color="C2EDD6"/>
        </w:pBdr>
      </w:pPr>
      <w:r>
        <w:rPr>
          <w:b/>
          <w:color w:val="FFFFFF"/>
          <w:sz w:val="20"/>
          <w:shd w:val="clear" w:color="auto" w:fill="05A44E"/>
        </w:rPr>
        <w:t xml:space="preserve"> 1 </w:t>
      </w:r>
      <w:r>
        <w:t xml:space="preserve">  </w:t>
      </w:r>
      <w:r>
        <w:rPr>
          <w:b/>
          <w:color w:val="037A3A"/>
          <w:sz w:val="26"/>
        </w:rPr>
        <w:t>Adoption Applications &amp; Adopter Information</w:t>
      </w:r>
    </w:p>
    <w:p>
      <w:pPr>
        <w:pStyle w:val="ListBullet"/>
        <w:spacing w:before="0" w:after="60"/>
      </w:pPr>
      <w:r>
        <w:rPr>
          <w:b/>
          <w:sz w:val="22"/>
        </w:rPr>
        <w:t>Retention Period:</w:t>
      </w:r>
      <w:r>
        <w:rPr>
          <w:sz w:val="22"/>
        </w:rPr>
        <w:t xml:space="preserve"> 12 months after the adoption is completed.</w:t>
      </w:r>
    </w:p>
    <w:p>
      <w:pPr>
        <w:pStyle w:val="ListBullet"/>
        <w:spacing w:before="0" w:after="60"/>
      </w:pPr>
      <w:r>
        <w:rPr>
          <w:b/>
          <w:sz w:val="22"/>
        </w:rPr>
        <w:t>Includes:</w:t>
      </w:r>
      <w:r>
        <w:rPr>
          <w:sz w:val="22"/>
        </w:rPr>
        <w:t xml:space="preserve"> Application forms, contact details, notes, photos, videos, and related communication.</w:t>
      </w:r>
    </w:p>
    <w:p>
      <w:pPr>
        <w:pStyle w:val="ListBullet"/>
        <w:spacing w:before="0" w:after="60"/>
      </w:pPr>
      <w:r>
        <w:rPr>
          <w:b/>
          <w:sz w:val="22"/>
        </w:rPr>
        <w:t>Reason:</w:t>
      </w:r>
      <w:r>
        <w:rPr>
          <w:sz w:val="22"/>
        </w:rPr>
        <w:t xml:space="preserve"> Adoption issues typically arise within the first year; after this, data is no longer required.</w:t>
      </w:r>
    </w:p>
    <w:p>
      <w:pPr>
        <w:spacing w:before="280" w:after="120"/>
        <w:pBdr>
          <w:bottom w:val="single" w:sz="6" w:space="2" w:color="C2EDD6"/>
        </w:pBdr>
      </w:pPr>
      <w:r>
        <w:rPr>
          <w:b/>
          <w:color w:val="FFFFFF"/>
          <w:sz w:val="20"/>
          <w:shd w:val="clear" w:color="auto" w:fill="05A44E"/>
        </w:rPr>
        <w:t xml:space="preserve"> 2 </w:t>
      </w:r>
      <w:r>
        <w:t xml:space="preserve">  </w:t>
      </w:r>
      <w:r>
        <w:rPr>
          <w:b/>
          <w:color w:val="037A3A"/>
          <w:sz w:val="26"/>
        </w:rPr>
        <w:t>Fosterer Information</w:t>
      </w:r>
    </w:p>
    <w:p>
      <w:pPr>
        <w:pStyle w:val="ListBullet"/>
        <w:spacing w:before="0" w:after="60"/>
      </w:pPr>
      <w:r>
        <w:rPr>
          <w:b/>
          <w:sz w:val="22"/>
        </w:rPr>
        <w:t>Retention Period:</w:t>
      </w:r>
      <w:r>
        <w:rPr>
          <w:sz w:val="22"/>
        </w:rPr>
        <w:t xml:space="preserve"> Duration of the volunteer's involvement + 12 months after leaving.</w:t>
      </w:r>
    </w:p>
    <w:p>
      <w:pPr>
        <w:pStyle w:val="ListBullet"/>
        <w:spacing w:before="0" w:after="60"/>
      </w:pPr>
      <w:r>
        <w:rPr>
          <w:b/>
          <w:sz w:val="22"/>
        </w:rPr>
        <w:t>Includes:</w:t>
      </w:r>
      <w:r>
        <w:rPr>
          <w:sz w:val="22"/>
        </w:rPr>
        <w:t xml:space="preserve"> Contact details, agreements, and essential records.</w:t>
      </w:r>
    </w:p>
    <w:p>
      <w:pPr>
        <w:pStyle w:val="ListBullet"/>
        <w:spacing w:before="0" w:after="60"/>
      </w:pPr>
      <w:r>
        <w:rPr>
          <w:b/>
          <w:sz w:val="22"/>
        </w:rPr>
        <w:t>Reason:</w:t>
      </w:r>
      <w:r>
        <w:rPr>
          <w:sz w:val="22"/>
        </w:rPr>
        <w:t xml:space="preserve"> Necessary for operational continuity and volunteer management.</w:t>
      </w:r>
    </w:p>
    <w:p>
      <w:pPr>
        <w:spacing w:before="280" w:after="120"/>
        <w:pBdr>
          <w:bottom w:val="single" w:sz="6" w:space="2" w:color="C2EDD6"/>
        </w:pBdr>
      </w:pPr>
      <w:r>
        <w:rPr>
          <w:b/>
          <w:color w:val="FFFFFF"/>
          <w:sz w:val="20"/>
          <w:shd w:val="clear" w:color="auto" w:fill="05A44E"/>
        </w:rPr>
        <w:t xml:space="preserve"> 3 </w:t>
      </w:r>
      <w:r>
        <w:t xml:space="preserve">  </w:t>
      </w:r>
      <w:r>
        <w:rPr>
          <w:b/>
          <w:color w:val="037A3A"/>
          <w:sz w:val="26"/>
        </w:rPr>
        <w:t>Volunteer Group Chat Content &amp; Case Notes</w:t>
      </w:r>
    </w:p>
    <w:p>
      <w:pPr>
        <w:pStyle w:val="ListBullet"/>
        <w:spacing w:before="0" w:after="60"/>
      </w:pPr>
      <w:r>
        <w:rPr>
          <w:b/>
          <w:sz w:val="22"/>
        </w:rPr>
        <w:t>Retention Period:</w:t>
      </w:r>
      <w:r>
        <w:rPr>
          <w:sz w:val="22"/>
        </w:rPr>
        <w:t xml:space="preserve"> Delete once the cat's case is completed (adopted, transferred, or closed).</w:t>
      </w:r>
    </w:p>
    <w:p>
      <w:pPr>
        <w:pStyle w:val="ListBullet"/>
        <w:spacing w:before="0" w:after="60"/>
      </w:pPr>
      <w:r>
        <w:rPr>
          <w:b/>
          <w:sz w:val="22"/>
        </w:rPr>
        <w:t>Includes:</w:t>
      </w:r>
      <w:r>
        <w:rPr>
          <w:sz w:val="22"/>
        </w:rPr>
        <w:t xml:space="preserve"> Photos, screenshots, transport information, vet discussions, and temporary notes.</w:t>
      </w:r>
    </w:p>
    <w:p>
      <w:pPr>
        <w:pStyle w:val="ListBullet"/>
        <w:spacing w:before="0" w:after="60"/>
      </w:pPr>
      <w:r>
        <w:rPr>
          <w:b/>
          <w:sz w:val="22"/>
        </w:rPr>
        <w:t>Reason:</w:t>
      </w:r>
      <w:r>
        <w:rPr>
          <w:sz w:val="22"/>
        </w:rPr>
        <w:t xml:space="preserve"> Information is no longer required after the case concludes.</w:t>
      </w:r>
    </w:p>
    <w:p>
      <w:pPr>
        <w:spacing w:before="280" w:after="120"/>
        <w:pBdr>
          <w:bottom w:val="single" w:sz="6" w:space="2" w:color="C2EDD6"/>
        </w:pBdr>
      </w:pPr>
      <w:r>
        <w:rPr>
          <w:b/>
          <w:color w:val="FFFFFF"/>
          <w:sz w:val="20"/>
          <w:shd w:val="clear" w:color="auto" w:fill="05A44E"/>
        </w:rPr>
        <w:t xml:space="preserve"> 4 </w:t>
      </w:r>
      <w:r>
        <w:t xml:space="preserve">  </w:t>
      </w:r>
      <w:r>
        <w:rPr>
          <w:b/>
          <w:color w:val="037A3A"/>
          <w:sz w:val="26"/>
        </w:rPr>
        <w:t>Sensitive or Special Category Data</w:t>
      </w:r>
    </w:p>
    <w:p>
      <w:pPr>
        <w:pStyle w:val="ListBullet"/>
        <w:spacing w:before="0" w:after="60"/>
      </w:pPr>
      <w:r>
        <w:rPr>
          <w:b/>
          <w:sz w:val="22"/>
        </w:rPr>
        <w:t>Retention Period:</w:t>
      </w:r>
      <w:r>
        <w:rPr>
          <w:sz w:val="22"/>
        </w:rPr>
        <w:t xml:space="preserve"> Keep only until the immediate need has been resolved, then delete promptly.</w:t>
      </w:r>
    </w:p>
    <w:p>
      <w:pPr>
        <w:pStyle w:val="ListBullet"/>
        <w:spacing w:before="0" w:after="60"/>
      </w:pPr>
      <w:r>
        <w:rPr>
          <w:b/>
          <w:sz w:val="22"/>
        </w:rPr>
        <w:t>Includes:</w:t>
      </w:r>
      <w:r>
        <w:rPr>
          <w:sz w:val="22"/>
        </w:rPr>
        <w:t xml:space="preserve"> Information about health, family circumstances, safeguarding concerns, incidents, or anything involving children.</w:t>
      </w:r>
    </w:p>
    <w:p>
      <w:pPr>
        <w:pStyle w:val="ListBullet"/>
        <w:spacing w:before="0" w:after="60"/>
      </w:pPr>
      <w:r>
        <w:rPr>
          <w:b/>
          <w:sz w:val="22"/>
        </w:rPr>
        <w:t>Reason:</w:t>
      </w:r>
      <w:r>
        <w:rPr>
          <w:sz w:val="22"/>
        </w:rPr>
        <w:t xml:space="preserve"> Special category data requires minimal retention under GDPR.</w:t>
      </w:r>
    </w:p>
    <w:p>
      <w:pPr>
        <w:spacing w:before="280" w:after="120"/>
        <w:pBdr>
          <w:bottom w:val="single" w:sz="6" w:space="2" w:color="C2EDD6"/>
        </w:pBdr>
      </w:pPr>
      <w:r>
        <w:rPr>
          <w:b/>
          <w:color w:val="FFFFFF"/>
          <w:sz w:val="20"/>
          <w:shd w:val="clear" w:color="auto" w:fill="05A44E"/>
        </w:rPr>
        <w:t xml:space="preserve"> 5 </w:t>
      </w:r>
      <w:r>
        <w:t xml:space="preserve">  </w:t>
      </w:r>
      <w:r>
        <w:rPr>
          <w:b/>
          <w:color w:val="037A3A"/>
          <w:sz w:val="26"/>
        </w:rPr>
        <w:t>Home Check Notes</w:t>
      </w:r>
    </w:p>
    <w:p>
      <w:pPr>
        <w:pStyle w:val="ListBullet"/>
        <w:spacing w:before="0" w:after="60"/>
      </w:pPr>
      <w:r>
        <w:rPr>
          <w:b/>
          <w:sz w:val="22"/>
        </w:rPr>
        <w:t>Retention Period:</w:t>
      </w:r>
      <w:r>
        <w:rPr>
          <w:sz w:val="22"/>
        </w:rPr>
        <w:t xml:space="preserve"> 6 months after the home check is completed.</w:t>
      </w:r>
    </w:p>
    <w:p>
      <w:pPr>
        <w:pStyle w:val="ListBullet"/>
        <w:spacing w:before="0" w:after="60"/>
      </w:pPr>
      <w:r>
        <w:rPr>
          <w:b/>
          <w:sz w:val="22"/>
        </w:rPr>
        <w:t>Includes:</w:t>
      </w:r>
      <w:r>
        <w:rPr>
          <w:sz w:val="22"/>
        </w:rPr>
        <w:t xml:space="preserve"> Assessment notes, suitability comments, and related documents.</w:t>
      </w:r>
    </w:p>
    <w:p>
      <w:pPr>
        <w:pStyle w:val="ListBullet"/>
        <w:spacing w:before="0" w:after="60"/>
      </w:pPr>
      <w:r>
        <w:rPr>
          <w:b/>
          <w:sz w:val="22"/>
        </w:rPr>
        <w:t>Reason:</w:t>
      </w:r>
      <w:r>
        <w:rPr>
          <w:sz w:val="22"/>
        </w:rPr>
        <w:t xml:space="preserve"> Only required to support the adoption decision.</w:t>
      </w:r>
    </w:p>
    <w:p>
      <w:pPr>
        <w:spacing w:before="280" w:after="120"/>
        <w:pBdr>
          <w:bottom w:val="single" w:sz="6" w:space="2" w:color="C2EDD6"/>
        </w:pBdr>
      </w:pPr>
      <w:r>
        <w:rPr>
          <w:b/>
          <w:color w:val="FFFFFF"/>
          <w:sz w:val="20"/>
          <w:shd w:val="clear" w:color="auto" w:fill="05A44E"/>
        </w:rPr>
        <w:t xml:space="preserve"> 6 </w:t>
      </w:r>
      <w:r>
        <w:t xml:space="preserve">  </w:t>
      </w:r>
      <w:r>
        <w:rPr>
          <w:b/>
          <w:color w:val="037A3A"/>
          <w:sz w:val="26"/>
        </w:rPr>
        <w:t>Donation &amp; Financial Records</w:t>
      </w:r>
    </w:p>
    <w:p>
      <w:pPr>
        <w:pStyle w:val="ListBullet"/>
        <w:spacing w:before="0" w:after="60"/>
      </w:pPr>
      <w:r>
        <w:rPr>
          <w:b/>
          <w:sz w:val="22"/>
        </w:rPr>
        <w:t>Retention Period:</w:t>
      </w:r>
      <w:r>
        <w:rPr>
          <w:sz w:val="22"/>
        </w:rPr>
        <w:t xml:space="preserve"> 6 years (legal requirement, HMRC).</w:t>
      </w:r>
    </w:p>
    <w:p>
      <w:pPr>
        <w:pStyle w:val="ListBullet"/>
        <w:spacing w:before="0" w:after="60"/>
      </w:pPr>
      <w:r>
        <w:rPr>
          <w:b/>
          <w:sz w:val="22"/>
        </w:rPr>
        <w:t>Includes:</w:t>
      </w:r>
      <w:r>
        <w:rPr>
          <w:sz w:val="22"/>
        </w:rPr>
        <w:t xml:space="preserve"> Donation logs, Gift Aid data, financial transaction records.</w:t>
      </w:r>
    </w:p>
    <w:p>
      <w:pPr>
        <w:pStyle w:val="ListBullet"/>
        <w:spacing w:before="0" w:after="60"/>
      </w:pPr>
      <w:r>
        <w:rPr>
          <w:b/>
          <w:sz w:val="22"/>
        </w:rPr>
        <w:t>Reason:</w:t>
      </w:r>
      <w:r>
        <w:rPr>
          <w:sz w:val="22"/>
        </w:rPr>
        <w:t xml:space="preserve"> Statutory accounting and audit obligations.</w:t>
      </w:r>
    </w:p>
    <w:p>
      <w:pPr>
        <w:spacing w:before="280" w:after="120"/>
        <w:pBdr>
          <w:bottom w:val="single" w:sz="6" w:space="2" w:color="C2EDD6"/>
        </w:pBdr>
      </w:pPr>
      <w:r>
        <w:rPr>
          <w:b/>
          <w:color w:val="FFFFFF"/>
          <w:sz w:val="20"/>
          <w:shd w:val="clear" w:color="auto" w:fill="05A44E"/>
        </w:rPr>
        <w:t xml:space="preserve"> 7 </w:t>
      </w:r>
      <w:r>
        <w:t xml:space="preserve">  </w:t>
      </w:r>
      <w:r>
        <w:rPr>
          <w:b/>
          <w:color w:val="037A3A"/>
          <w:sz w:val="26"/>
        </w:rPr>
        <w:t>Social Media Content &amp; Public Communications</w:t>
      </w:r>
    </w:p>
    <w:p>
      <w:pPr>
        <w:pStyle w:val="ListBullet"/>
        <w:spacing w:before="0" w:after="60"/>
      </w:pPr>
      <w:r>
        <w:rPr>
          <w:b/>
          <w:sz w:val="22"/>
        </w:rPr>
        <w:t>Retention Period:</w:t>
      </w:r>
      <w:r>
        <w:rPr>
          <w:sz w:val="22"/>
        </w:rPr>
        <w:t xml:space="preserve"> Permanent unless a removal request is made.</w:t>
      </w:r>
    </w:p>
    <w:p>
      <w:pPr>
        <w:pStyle w:val="ListBullet"/>
        <w:spacing w:before="0" w:after="60"/>
      </w:pPr>
      <w:r>
        <w:rPr>
          <w:b/>
          <w:sz w:val="22"/>
        </w:rPr>
        <w:t>Includes:</w:t>
      </w:r>
      <w:r>
        <w:rPr>
          <w:sz w:val="22"/>
        </w:rPr>
        <w:t xml:space="preserve"> Adoption posts, fundraising events, and general updates.</w:t>
      </w:r>
    </w:p>
    <w:p>
      <w:pPr>
        <w:pStyle w:val="ListBullet"/>
        <w:spacing w:before="0" w:after="60"/>
      </w:pPr>
      <w:r>
        <w:rPr>
          <w:b/>
          <w:sz w:val="22"/>
        </w:rPr>
        <w:t>Reason:</w:t>
      </w:r>
      <w:r>
        <w:rPr>
          <w:sz w:val="22"/>
        </w:rPr>
        <w:t xml:space="preserve"> Communications remain part of public organisational history.</w:t>
      </w:r>
    </w:p>
    <w:p>
      <w:pPr>
        <w:spacing w:before="280" w:after="120"/>
        <w:pBdr>
          <w:bottom w:val="single" w:sz="6" w:space="2" w:color="C2EDD6"/>
        </w:pBdr>
      </w:pPr>
      <w:r>
        <w:rPr>
          <w:b/>
          <w:color w:val="FFFFFF"/>
          <w:sz w:val="20"/>
          <w:shd w:val="clear" w:color="auto" w:fill="05A44E"/>
        </w:rPr>
        <w:t xml:space="preserve"> 8 </w:t>
      </w:r>
      <w:r>
        <w:t xml:space="preserve">  </w:t>
      </w:r>
      <w:r>
        <w:rPr>
          <w:b/>
          <w:color w:val="037A3A"/>
          <w:sz w:val="26"/>
        </w:rPr>
        <w:t>Data Stored on Personal Devices</w:t>
      </w:r>
    </w:p>
    <w:p>
      <w:pPr>
        <w:pStyle w:val="ListBullet"/>
        <w:spacing w:before="0" w:after="60"/>
      </w:pPr>
      <w:r>
        <w:rPr>
          <w:b/>
          <w:sz w:val="22"/>
        </w:rPr>
        <w:t>Retention Period:</w:t>
      </w:r>
      <w:r>
        <w:rPr>
          <w:sz w:val="22"/>
        </w:rPr>
        <w:t xml:space="preserve"> Must follow the same rules as above.</w:t>
      </w:r>
    </w:p>
    <w:p>
      <w:pPr>
        <w:pStyle w:val="ListBullet"/>
        <w:spacing w:before="0" w:after="60"/>
      </w:pPr>
      <w:r>
        <w:rPr>
          <w:sz w:val="22"/>
        </w:rPr>
        <w:t>Volunteers and trustees must delete data from their devices once retention periods expire.</w:t>
      </w:r>
    </w:p>
    <w:p>
      <w:pPr>
        <w:spacing w:before="280" w:after="120"/>
        <w:pBdr>
          <w:bottom w:val="single" w:sz="6" w:space="2" w:color="C2EDD6"/>
        </w:pBdr>
      </w:pPr>
      <w:r>
        <w:rPr>
          <w:b/>
          <w:color w:val="FFFFFF"/>
          <w:sz w:val="20"/>
          <w:shd w:val="clear" w:color="auto" w:fill="05A44E"/>
        </w:rPr>
        <w:t xml:space="preserve"> 9 </w:t>
      </w:r>
      <w:r>
        <w:t xml:space="preserve">  </w:t>
      </w:r>
      <w:r>
        <w:rPr>
          <w:b/>
          <w:color w:val="037A3A"/>
          <w:sz w:val="26"/>
        </w:rPr>
        <w:t>Data Disposal</w:t>
      </w:r>
    </w:p>
    <w:p>
      <w:pPr>
        <w:spacing w:before="0" w:after="120"/>
      </w:pPr>
      <w:r>
        <w:rPr>
          <w:sz w:val="22"/>
        </w:rPr>
        <w:t>When data reaches the end of its retention period, it must be deleted securely:</w:t>
      </w:r>
    </w:p>
    <w:p>
      <w:pPr>
        <w:pStyle w:val="ListBullet"/>
        <w:spacing w:before="0" w:after="60"/>
      </w:pPr>
      <w:r>
        <w:rPr>
          <w:sz w:val="22"/>
        </w:rPr>
        <w:t>Digital files permanently deleted from devices and cloud storage.</w:t>
      </w:r>
    </w:p>
    <w:p>
      <w:pPr>
        <w:pStyle w:val="ListBullet"/>
        <w:spacing w:before="0" w:after="60"/>
      </w:pPr>
      <w:r>
        <w:rPr>
          <w:sz w:val="22"/>
        </w:rPr>
        <w:t>Screenshots removed from phones and group chats.</w:t>
      </w:r>
    </w:p>
    <w:p>
      <w:pPr>
        <w:pStyle w:val="ListBullet"/>
        <w:spacing w:before="0" w:after="60"/>
      </w:pPr>
      <w:r>
        <w:rPr>
          <w:sz w:val="22"/>
        </w:rPr>
        <w:t>Paper documents shredded.</w:t>
      </w:r>
    </w:p>
    <w:p>
      <w:pPr>
        <w:spacing w:before="280" w:after="120"/>
        <w:pBdr>
          <w:bottom w:val="single" w:sz="6" w:space="2" w:color="C2EDD6"/>
        </w:pBdr>
      </w:pPr>
      <w:r>
        <w:rPr>
          <w:b/>
          <w:color w:val="FFFFFF"/>
          <w:sz w:val="20"/>
          <w:shd w:val="clear" w:color="auto" w:fill="05A44E"/>
        </w:rPr>
        <w:t xml:space="preserve"> 10 </w:t>
      </w:r>
      <w:r>
        <w:t xml:space="preserve">  </w:t>
      </w:r>
      <w:r>
        <w:rPr>
          <w:b/>
          <w:color w:val="037A3A"/>
          <w:sz w:val="26"/>
        </w:rPr>
        <w:t>Review</w:t>
      </w:r>
    </w:p>
    <w:p>
      <w:pPr>
        <w:spacing w:before="0" w:after="120"/>
      </w:pPr>
      <w:r>
        <w:rPr>
          <w:sz w:val="22"/>
        </w:rPr>
        <w:t>This policy must be reviewed every 12 months or whenever GDPR legislation changes.</w:t>
      </w:r>
    </w:p>
    <w:p>
      <w:pPr>
        <w:spacing w:before="80" w:after="80"/>
        <w:pBdr>
          <w:bottom w:val="single" w:sz="6" w:space="1" w:color="C2EDD6"/>
        </w:pBdr>
      </w:pPr>
    </w:p>
    <w:p>
      <w:pPr>
        <w:spacing w:before="0" w:after="120"/>
      </w:pPr>
      <w:r>
        <w:rPr>
          <w:b/>
          <w:sz w:val="22"/>
        </w:rPr>
        <w:t>Contact:</w:t>
      </w:r>
      <w:r>
        <w:rPr>
          <w:sz w:val="22"/>
        </w:rPr>
        <w:t xml:space="preserve"> For questions or data removal requests, contact the Chair or Data Protection Lead.</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11 </w:t>
      </w:r>
      <w:r>
        <w:t xml:space="preserve">  </w:t>
      </w:r>
      <w:r>
        <w:rPr>
          <w:b/>
          <w:color w:val="037A3A"/>
          <w:sz w:val="26"/>
        </w:rPr>
        <w:t>Review &amp; Approval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5A44E"/>
          </w:tcPr>
          <w:p>
            <w:pPr>
              <w:spacing w:before="80" w:after="80"/>
            </w:pPr>
            <w:r>
              <w:rPr>
                <w:b/>
                <w:color w:val="FFFFFF"/>
                <w:sz w:val="19"/>
              </w:rPr>
              <w:t>Name</w:t>
            </w:r>
          </w:p>
        </w:tc>
        <w:tc>
          <w:tcPr>
            <w:tcW w:type="dxa" w:w="2268"/>
            <w:shd w:val="clear" w:color="auto" w:fill="05A44E"/>
          </w:tcPr>
          <w:p>
            <w:pPr>
              <w:spacing w:before="80" w:after="80"/>
            </w:pPr>
            <w:r>
              <w:rPr>
                <w:b/>
                <w:color w:val="FFFFFF"/>
                <w:sz w:val="19"/>
              </w:rPr>
              <w:t>Role</w:t>
            </w:r>
          </w:p>
        </w:tc>
        <w:tc>
          <w:tcPr>
            <w:tcW w:type="dxa" w:w="2268"/>
            <w:shd w:val="clear" w:color="auto" w:fill="05A44E"/>
          </w:tcPr>
          <w:p>
            <w:pPr>
              <w:spacing w:before="80" w:after="80"/>
            </w:pPr>
            <w:r>
              <w:rPr>
                <w:b/>
                <w:color w:val="FFFFFF"/>
                <w:sz w:val="19"/>
              </w:rPr>
              <w:t>Signature</w:t>
            </w:r>
          </w:p>
        </w:tc>
        <w:tc>
          <w:tcPr>
            <w:tcW w:type="dxa" w:w="2268"/>
            <w:shd w:val="clear" w:color="auto" w:fill="05A44E"/>
          </w:tcPr>
          <w:p>
            <w:pPr>
              <w:spacing w:before="80" w:after="80"/>
            </w:pPr>
            <w:r>
              <w:rPr>
                <w:b/>
                <w:color w:val="FFFFFF"/>
                <w:sz w:val="19"/>
              </w:rPr>
              <w:t>Date</w:t>
            </w:r>
          </w:p>
        </w:tc>
      </w:tr>
      <w:tr>
        <w:tc>
          <w:tcPr>
            <w:tcW w:type="dxa" w:w="2268"/>
            <w:shd w:val="clear" w:color="auto" w:fill="FFFFFF"/>
          </w:tcPr>
          <w:p>
            <w:pPr>
              <w:spacing w:before="320" w:after="320"/>
            </w:pPr>
            <w:r>
              <w:rPr>
                <w:sz w:val="20"/>
              </w:rPr>
              <w:t>Bev Hibbert</w:t>
            </w:r>
          </w:p>
        </w:tc>
        <w:tc>
          <w:tcPr>
            <w:tcW w:type="dxa" w:w="2268"/>
            <w:shd w:val="clear" w:color="auto" w:fill="FFFFFF"/>
          </w:tcPr>
          <w:p>
            <w:pPr>
              <w:spacing w:before="320" w:after="320"/>
            </w:pPr>
            <w:r>
              <w:rPr>
                <w:sz w:val="20"/>
              </w:rPr>
              <w:t>Founder</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r>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t>Trustee</w:t>
            </w:r>
          </w:p>
        </w:tc>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r>
          </w:p>
        </w:tc>
      </w:tr>
      <w:tr>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t>Trustee</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bl>
    <w:p/>
    <w:p>
      <w:pPr>
        <w:spacing w:before="280" w:after="120"/>
        <w:pBdr>
          <w:bottom w:val="single" w:sz="6" w:space="2" w:color="C2EDD6"/>
        </w:pBdr>
      </w:pPr>
      <w:r>
        <w:rPr>
          <w:b/>
          <w:color w:val="FFFFFF"/>
          <w:sz w:val="20"/>
          <w:shd w:val="clear" w:color="auto" w:fill="05A44E"/>
        </w:rPr>
        <w:t xml:space="preserve"> 12 </w:t>
      </w:r>
      <w:r>
        <w:t xml:space="preserve">  </w:t>
      </w:r>
      <w:r>
        <w:rPr>
          <w:b/>
          <w:color w:val="037A3A"/>
          <w:sz w:val="26"/>
        </w:rPr>
        <w:t>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11827"/>
          </w:tcPr>
          <w:p>
            <w:pPr>
              <w:spacing w:before="80" w:after="80"/>
            </w:pPr>
            <w:r>
              <w:rPr>
                <w:b/>
                <w:color w:val="FFFFFF"/>
                <w:sz w:val="19"/>
              </w:rPr>
              <w:t>Version</w:t>
            </w:r>
          </w:p>
        </w:tc>
        <w:tc>
          <w:tcPr>
            <w:tcW w:type="dxa" w:w="2268"/>
            <w:shd w:val="clear" w:color="auto" w:fill="111827"/>
          </w:tcPr>
          <w:p>
            <w:pPr>
              <w:spacing w:before="80" w:after="80"/>
            </w:pPr>
            <w:r>
              <w:rPr>
                <w:b/>
                <w:color w:val="FFFFFF"/>
                <w:sz w:val="19"/>
              </w:rPr>
              <w:t>Date</w:t>
            </w:r>
          </w:p>
        </w:tc>
        <w:tc>
          <w:tcPr>
            <w:tcW w:type="dxa" w:w="2268"/>
            <w:shd w:val="clear" w:color="auto" w:fill="111827"/>
          </w:tcPr>
          <w:p>
            <w:pPr>
              <w:spacing w:before="80" w:after="80"/>
            </w:pPr>
            <w:r>
              <w:rPr>
                <w:b/>
                <w:color w:val="FFFFFF"/>
                <w:sz w:val="19"/>
              </w:rPr>
              <w:t>Author</w:t>
            </w:r>
          </w:p>
        </w:tc>
        <w:tc>
          <w:tcPr>
            <w:tcW w:type="dxa" w:w="2268"/>
            <w:shd w:val="clear" w:color="auto" w:fill="111827"/>
          </w:tcPr>
          <w:p>
            <w:pPr>
              <w:spacing w:before="80" w:after="80"/>
            </w:pPr>
            <w:r>
              <w:rPr>
                <w:b/>
                <w:color w:val="FFFFFF"/>
                <w:sz w:val="19"/>
              </w:rPr>
              <w:t>Changes</w:t>
            </w:r>
          </w:p>
        </w:tc>
      </w:tr>
      <w:tr>
        <w:tc>
          <w:tcPr>
            <w:tcW w:type="dxa" w:w="2268"/>
            <w:shd w:val="clear" w:color="auto" w:fill="FFFFFF"/>
          </w:tcPr>
          <w:p>
            <w:pPr>
              <w:spacing w:before="60" w:after="60"/>
            </w:pPr>
            <w:r>
              <w:rPr>
                <w:sz w:val="20"/>
              </w:rPr>
              <w:t>1.0</w:t>
            </w:r>
          </w:p>
        </w:tc>
        <w:tc>
          <w:tcPr>
            <w:tcW w:type="dxa" w:w="2268"/>
            <w:shd w:val="clear" w:color="auto" w:fill="FFFFFF"/>
          </w:tcPr>
          <w:p>
            <w:pPr>
              <w:spacing w:before="60" w:after="60"/>
            </w:pPr>
            <w:r>
              <w:rPr>
                <w:sz w:val="20"/>
              </w:rPr>
              <w:t>[DD Month YYYY]</w:t>
            </w:r>
          </w:p>
        </w:tc>
        <w:tc>
          <w:tcPr>
            <w:tcW w:type="dxa" w:w="2268"/>
            <w:shd w:val="clear" w:color="auto" w:fill="FFFFFF"/>
          </w:tcPr>
          <w:p>
            <w:pPr>
              <w:spacing w:before="60" w:after="60"/>
            </w:pPr>
            <w:r>
              <w:rPr>
                <w:sz w:val="20"/>
              </w:rPr>
              <w:t>Trustees</w:t>
            </w:r>
          </w:p>
        </w:tc>
        <w:tc>
          <w:tcPr>
            <w:tcW w:type="dxa" w:w="2268"/>
            <w:shd w:val="clear" w:color="auto" w:fill="FFFFFF"/>
          </w:tcPr>
          <w:p>
            <w:pPr>
              <w:spacing w:before="60" w:after="60"/>
            </w:pPr>
            <w:r>
              <w:rPr>
                <w:sz w:val="20"/>
              </w:rPr>
              <w:t>Initial version</w:t>
            </w:r>
          </w:p>
        </w:tc>
      </w:tr>
      <w:tr>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Forgotten Felines – Data Retention Policy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