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5A44E"/>
        <w:spacing w:before="0" w:after="0"/>
      </w:pPr>
      <w:r>
        <w:rPr>
          <w:b/>
          <w:color w:val="FFFFFF"/>
          <w:sz w:val="17"/>
        </w:rPr>
        <w:t>POLICY DOCUMENT</w:t>
      </w:r>
    </w:p>
    <w:p>
      <w:pPr>
        <w:shd w:val="clear" w:color="auto" w:fill="05A44E"/>
        <w:spacing w:before="0" w:after="240"/>
      </w:pPr>
      <w:r>
        <w:rPr>
          <w:color w:val="FFFFFF"/>
          <w:sz w:val="44"/>
        </w:rPr>
        <w:t>GDPR &amp; Data Protection Policy — Trustees / Official Communications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6F8EF"/>
          </w:tcPr>
          <w:p>
            <w:pPr>
              <w:spacing w:before="60" w:after="60"/>
            </w:pPr>
            <w:r>
              <w:rPr>
                <w:b/>
                <w:color w:val="037A3A"/>
                <w:sz w:val="19"/>
              </w:rPr>
              <w:t>Policy Number</w:t>
            </w:r>
          </w:p>
        </w:tc>
        <w:tc>
          <w:tcPr>
            <w:tcW w:type="dxa" w:w="2268"/>
            <w:shd w:val="clear" w:color="auto" w:fill="FFFFFF"/>
          </w:tcPr>
          <w:p>
            <w:pPr>
              <w:spacing w:before="60" w:after="60"/>
            </w:pPr>
            <w:r>
              <w:rPr>
                <w:b w:val="0"/>
                <w:color w:val="111827"/>
                <w:sz w:val="19"/>
              </w:rPr>
              <w:t>FF-DP-003</w:t>
            </w:r>
          </w:p>
        </w:tc>
        <w:tc>
          <w:tcPr>
            <w:tcW w:type="dxa" w:w="2268"/>
            <w:shd w:val="clear" w:color="auto" w:fill="E6F8EF"/>
          </w:tcPr>
          <w:p>
            <w:pPr>
              <w:spacing w:before="60" w:after="60"/>
            </w:pPr>
            <w:r>
              <w:rPr>
                <w:b/>
                <w:color w:val="037A3A"/>
                <w:sz w:val="19"/>
              </w:rPr>
              <w:t>Category</w:t>
            </w:r>
          </w:p>
        </w:tc>
        <w:tc>
          <w:tcPr>
            <w:tcW w:type="dxa" w:w="2268"/>
            <w:shd w:val="clear" w:color="auto" w:fill="FFFFFF"/>
          </w:tcPr>
          <w:p>
            <w:pPr>
              <w:spacing w:before="60" w:after="60"/>
            </w:pPr>
            <w:r>
              <w:rPr>
                <w:b w:val="0"/>
                <w:color w:val="111827"/>
                <w:sz w:val="19"/>
              </w:rPr>
              <w:t>Data Protection</w:t>
            </w:r>
          </w:p>
        </w:tc>
      </w:tr>
      <w:tr>
        <w:tc>
          <w:tcPr>
            <w:tcW w:type="dxa" w:w="2268"/>
            <w:shd w:val="clear" w:color="auto" w:fill="C2EDD6"/>
          </w:tcPr>
          <w:p>
            <w:pPr>
              <w:spacing w:before="60" w:after="60"/>
            </w:pPr>
            <w:r>
              <w:rPr>
                <w:b/>
                <w:color w:val="037A3A"/>
                <w:sz w:val="19"/>
              </w:rPr>
              <w:t>Version</w:t>
            </w:r>
          </w:p>
        </w:tc>
        <w:tc>
          <w:tcPr>
            <w:tcW w:type="dxa" w:w="2268"/>
            <w:shd w:val="clear" w:color="auto" w:fill="FFFFFF"/>
          </w:tcPr>
          <w:p>
            <w:pPr>
              <w:spacing w:before="60" w:after="60"/>
            </w:pPr>
            <w:r>
              <w:rPr>
                <w:b w:val="0"/>
                <w:color w:val="111827"/>
                <w:sz w:val="19"/>
              </w:rPr>
              <w:t>1.0</w:t>
            </w:r>
          </w:p>
        </w:tc>
        <w:tc>
          <w:tcPr>
            <w:tcW w:type="dxa" w:w="2268"/>
            <w:shd w:val="clear" w:color="auto" w:fill="C2EDD6"/>
          </w:tcPr>
          <w:p>
            <w:pPr>
              <w:spacing w:before="60" w:after="60"/>
            </w:pPr>
            <w:r>
              <w:rPr>
                <w:b/>
                <w:color w:val="037A3A"/>
                <w:sz w:val="19"/>
              </w:rPr>
              <w:t>Status</w:t>
            </w:r>
          </w:p>
        </w:tc>
        <w:tc>
          <w:tcPr>
            <w:tcW w:type="dxa" w:w="2268"/>
            <w:shd w:val="clear" w:color="auto" w:fill="FFFFFF"/>
          </w:tcPr>
          <w:p>
            <w:pPr>
              <w:spacing w:before="60" w:after="60"/>
            </w:pPr>
            <w:r>
              <w:rPr>
                <w:b w:val="0"/>
                <w:color w:val="111827"/>
                <w:sz w:val="19"/>
              </w:rPr>
              <w:t>Active</w:t>
            </w:r>
          </w:p>
        </w:tc>
      </w:tr>
      <w:tr>
        <w:tc>
          <w:tcPr>
            <w:tcW w:type="dxa" w:w="2268"/>
            <w:shd w:val="clear" w:color="auto" w:fill="E6F8EF"/>
          </w:tcPr>
          <w:p>
            <w:pPr>
              <w:spacing w:before="60" w:after="60"/>
            </w:pPr>
            <w:r>
              <w:rPr>
                <w:b/>
                <w:color w:val="037A3A"/>
                <w:sz w:val="19"/>
              </w:rPr>
              <w:t>Date Adopted</w:t>
            </w:r>
          </w:p>
        </w:tc>
        <w:tc>
          <w:tcPr>
            <w:tcW w:type="dxa" w:w="2268"/>
            <w:shd w:val="clear" w:color="auto" w:fill="FFFFFF"/>
          </w:tcPr>
          <w:p>
            <w:pPr>
              <w:spacing w:before="60" w:after="60"/>
            </w:pPr>
            <w:r>
              <w:rPr>
                <w:b w:val="0"/>
                <w:color w:val="111827"/>
                <w:sz w:val="19"/>
              </w:rPr>
              <w:t>[DD Month YYYY]</w:t>
            </w:r>
          </w:p>
        </w:tc>
        <w:tc>
          <w:tcPr>
            <w:tcW w:type="dxa" w:w="2268"/>
            <w:shd w:val="clear" w:color="auto" w:fill="E6F8EF"/>
          </w:tcPr>
          <w:p>
            <w:pPr>
              <w:spacing w:before="60" w:after="60"/>
            </w:pPr>
            <w:r>
              <w:rPr>
                <w:b/>
                <w:color w:val="037A3A"/>
                <w:sz w:val="19"/>
              </w:rPr>
              <w:t>Next Review Date</w:t>
            </w:r>
          </w:p>
        </w:tc>
        <w:tc>
          <w:tcPr>
            <w:tcW w:type="dxa" w:w="2268"/>
            <w:shd w:val="clear" w:color="auto" w:fill="FFFFFF"/>
          </w:tcPr>
          <w:p>
            <w:pPr>
              <w:spacing w:before="60" w:after="60"/>
            </w:pPr>
            <w:r>
              <w:rPr>
                <w:b w:val="0"/>
                <w:color w:val="111827"/>
                <w:sz w:val="19"/>
              </w:rPr>
              <w:t>Annually</w:t>
            </w:r>
          </w:p>
        </w:tc>
      </w:tr>
      <w:tr>
        <w:tc>
          <w:tcPr>
            <w:tcW w:type="dxa" w:w="2268"/>
            <w:shd w:val="clear" w:color="auto" w:fill="C2EDD6"/>
          </w:tcPr>
          <w:p>
            <w:pPr>
              <w:spacing w:before="60" w:after="60"/>
            </w:pPr>
            <w:r>
              <w:rPr>
                <w:b/>
                <w:color w:val="037A3A"/>
                <w:sz w:val="19"/>
              </w:rPr>
              <w:t>Approved By</w:t>
            </w:r>
          </w:p>
        </w:tc>
        <w:tc>
          <w:tcPr>
            <w:tcW w:type="dxa" w:w="2268"/>
            <w:shd w:val="clear" w:color="auto" w:fill="FFFFFF"/>
          </w:tcPr>
          <w:p>
            <w:pPr>
              <w:spacing w:before="60" w:after="60"/>
            </w:pPr>
            <w:r>
              <w:rPr>
                <w:b w:val="0"/>
                <w:color w:val="111827"/>
                <w:sz w:val="19"/>
              </w:rPr>
              <w:t>Trustees</w:t>
            </w:r>
          </w:p>
        </w:tc>
        <w:tc>
          <w:tcPr>
            <w:tcW w:type="dxa" w:w="2268"/>
            <w:shd w:val="clear" w:color="auto" w:fill="C2EDD6"/>
          </w:tcPr>
          <w:p>
            <w:pPr>
              <w:spacing w:before="60" w:after="60"/>
            </w:pPr>
            <w:r>
              <w:rPr>
                <w:b/>
                <w:color w:val="037A3A"/>
                <w:sz w:val="19"/>
              </w:rPr>
              <w:t>Applies To</w:t>
            </w:r>
          </w:p>
        </w:tc>
        <w:tc>
          <w:tcPr>
            <w:tcW w:type="dxa" w:w="2268"/>
            <w:shd w:val="clear" w:color="auto" w:fill="FFFFFF"/>
          </w:tcPr>
          <w:p>
            <w:pPr>
              <w:spacing w:before="60" w:after="60"/>
            </w:pPr>
            <w:r>
              <w:rPr>
                <w:b w:val="0"/>
                <w:color w:val="111827"/>
                <w:sz w:val="19"/>
              </w:rPr>
              <w:t>All Volunteers &amp; Trustees</w:t>
            </w:r>
          </w:p>
        </w:tc>
      </w:tr>
    </w:tbl>
    <w:p/>
    <w:p>
      <w:pPr>
        <w:shd w:val="clear" w:color="auto" w:fill="E6F8EF"/>
        <w:spacing w:before="80" w:after="160"/>
        <w:pBdr>
          <w:left w:val="single" w:sz="24" w:space="12" w:color="05A44E"/>
        </w:pBdr>
      </w:pPr>
      <w:r>
        <w:rPr>
          <w:i/>
          <w:color w:val="111827"/>
          <w:sz w:val="21"/>
        </w:rPr>
        <w:t>To ensure trustees handle personal information lawfully, fairly, and securely when communicating with adopters, supporters, volunteers, and partners.</w:t>
      </w:r>
    </w:p>
    <w:p/>
    <w:p>
      <w:pPr>
        <w:spacing w:before="280" w:after="120"/>
        <w:pBdr>
          <w:bottom w:val="single" w:sz="6" w:space="2" w:color="C2EDD6"/>
        </w:pBdr>
      </w:pPr>
      <w:r>
        <w:rPr>
          <w:b/>
          <w:color w:val="FFFFFF"/>
          <w:sz w:val="20"/>
          <w:shd w:val="clear" w:color="auto" w:fill="05A44E"/>
        </w:rPr>
        <w:t xml:space="preserve"> 1 </w:t>
      </w:r>
      <w:r>
        <w:t xml:space="preserve">  </w:t>
      </w:r>
      <w:r>
        <w:rPr>
          <w:b/>
          <w:color w:val="037A3A"/>
          <w:sz w:val="26"/>
        </w:rPr>
        <w:t>Principles</w:t>
      </w:r>
    </w:p>
    <w:p>
      <w:pPr>
        <w:spacing w:before="0" w:after="120"/>
      </w:pPr>
      <w:r>
        <w:rPr>
          <w:sz w:val="22"/>
        </w:rPr>
        <w:t>Forgotten Felines trustees must follow GDPR principles:</w:t>
      </w:r>
    </w:p>
    <w:p>
      <w:pPr>
        <w:pStyle w:val="ListBullet"/>
        <w:spacing w:before="0" w:after="60"/>
      </w:pPr>
      <w:r>
        <w:rPr>
          <w:sz w:val="22"/>
        </w:rPr>
        <w:t>Collect only the information needed to run rescue operations.</w:t>
      </w:r>
    </w:p>
    <w:p>
      <w:pPr>
        <w:pStyle w:val="ListBullet"/>
        <w:spacing w:before="0" w:after="60"/>
      </w:pPr>
      <w:r>
        <w:rPr>
          <w:sz w:val="22"/>
        </w:rPr>
        <w:t>Use information only for legitimate rescue purposes.</w:t>
      </w:r>
    </w:p>
    <w:p>
      <w:pPr>
        <w:pStyle w:val="ListBullet"/>
        <w:spacing w:before="0" w:after="60"/>
      </w:pPr>
      <w:r>
        <w:rPr>
          <w:sz w:val="22"/>
        </w:rPr>
        <w:t>Keep all personal data secure.</w:t>
      </w:r>
    </w:p>
    <w:p>
      <w:pPr>
        <w:pStyle w:val="ListBullet"/>
        <w:spacing w:before="0" w:after="60"/>
      </w:pPr>
      <w:r>
        <w:rPr>
          <w:sz w:val="22"/>
        </w:rPr>
        <w:t>Share information strictly on a need-to-know basis.</w:t>
      </w:r>
    </w:p>
    <w:p>
      <w:pPr>
        <w:pStyle w:val="ListBullet"/>
        <w:spacing w:before="0" w:after="60"/>
      </w:pPr>
      <w:r>
        <w:rPr>
          <w:sz w:val="22"/>
        </w:rPr>
        <w:t>Delete information when it is no longer required.</w:t>
      </w:r>
    </w:p>
    <w:p>
      <w:pPr>
        <w:spacing w:before="280" w:after="120"/>
        <w:pBdr>
          <w:bottom w:val="single" w:sz="6" w:space="2" w:color="C2EDD6"/>
        </w:pBdr>
      </w:pPr>
      <w:r>
        <w:rPr>
          <w:b/>
          <w:color w:val="FFFFFF"/>
          <w:sz w:val="20"/>
          <w:shd w:val="clear" w:color="auto" w:fill="05A44E"/>
        </w:rPr>
        <w:t xml:space="preserve"> 2 </w:t>
      </w:r>
      <w:r>
        <w:t xml:space="preserve">  </w:t>
      </w:r>
      <w:r>
        <w:rPr>
          <w:b/>
          <w:color w:val="037A3A"/>
          <w:sz w:val="26"/>
        </w:rPr>
        <w:t>Approved Communication Channels</w:t>
      </w:r>
    </w:p>
    <w:p>
      <w:pPr>
        <w:spacing w:before="0" w:after="120"/>
      </w:pPr>
      <w:r>
        <w:rPr>
          <w:sz w:val="22"/>
        </w:rPr>
        <w:t>To ensure security, consistency, and proper record-keeping, trustees must only communicate using official Forgotten Felines channels:</w:t>
      </w:r>
    </w:p>
    <w:p>
      <w:pPr>
        <w:pStyle w:val="ListBullet"/>
        <w:spacing w:before="0" w:after="60"/>
      </w:pPr>
      <w:r>
        <w:rPr>
          <w:sz w:val="22"/>
        </w:rPr>
        <w:t>Facebook Page &amp; Messenger</w:t>
      </w:r>
    </w:p>
    <w:p>
      <w:pPr>
        <w:pStyle w:val="ListBullet"/>
        <w:spacing w:before="0" w:after="60"/>
      </w:pPr>
      <w:r>
        <w:rPr>
          <w:sz w:val="22"/>
        </w:rPr>
        <w:t>Instagram Messages</w:t>
      </w:r>
    </w:p>
    <w:p>
      <w:pPr>
        <w:pStyle w:val="ListBullet"/>
        <w:spacing w:before="0" w:after="60"/>
      </w:pPr>
      <w:r>
        <w:rPr>
          <w:sz w:val="22"/>
        </w:rPr>
        <w:t>WhatsApp Business / Official WhatsApp Groups</w:t>
      </w:r>
    </w:p>
    <w:p>
      <w:pPr>
        <w:pStyle w:val="ListBullet"/>
        <w:spacing w:before="0" w:after="60"/>
      </w:pPr>
      <w:r>
        <w:rPr>
          <w:sz w:val="22"/>
        </w:rPr>
        <w:t>Official Forgotten Felines Email (if applicable)</w:t>
      </w:r>
    </w:p>
    <w:p>
      <w:pPr>
        <w:spacing w:before="0" w:after="120"/>
      </w:pPr>
      <w:r>
        <w:rPr>
          <w:sz w:val="22"/>
        </w:rPr>
        <w:t>Personal accounts, personal phone numbers, or unofficial WhatsApp chats must not be used for adopter communication unless unavoidable and approved. In such cases, conversations must be moved to official channels as soon as possible.</w:t>
      </w:r>
    </w:p>
    <w:p>
      <w:pPr>
        <w:spacing w:before="160" w:after="40"/>
      </w:pPr>
      <w:r>
        <w:rPr>
          <w:b/>
          <w:color w:val="111827"/>
          <w:sz w:val="22"/>
        </w:rPr>
        <w:t>Communication Between Adopters &amp; Fosterers</w:t>
      </w:r>
    </w:p>
    <w:p>
      <w:pPr>
        <w:pStyle w:val="ListBullet"/>
        <w:spacing w:before="0" w:after="60"/>
      </w:pPr>
      <w:r>
        <w:rPr>
          <w:sz w:val="22"/>
        </w:rPr>
        <w:t>The adopter's name and phone number may be shared with the fosterer once the adopter is approved.</w:t>
      </w:r>
    </w:p>
    <w:p>
      <w:pPr>
        <w:pStyle w:val="ListBullet"/>
        <w:spacing w:before="0" w:after="60"/>
      </w:pPr>
      <w:r>
        <w:rPr>
          <w:sz w:val="22"/>
        </w:rPr>
        <w:t>Fosterers may contact adopters via phone call or text message only.</w:t>
      </w:r>
    </w:p>
    <w:p>
      <w:pPr>
        <w:pStyle w:val="ListBullet"/>
        <w:spacing w:before="0" w:after="60"/>
      </w:pPr>
      <w:r>
        <w:rPr>
          <w:sz w:val="22"/>
        </w:rPr>
        <w:t>Fosterers must use the adopter's number solely for coordinating the meet/collection.</w:t>
      </w:r>
    </w:p>
    <w:p>
      <w:pPr>
        <w:pStyle w:val="ListBullet"/>
        <w:spacing w:before="0" w:after="60"/>
      </w:pPr>
      <w:r>
        <w:rPr>
          <w:sz w:val="22"/>
        </w:rPr>
        <w:t>Fosterers must not store adopter details long-term and must delete them after adoption unless needed for welfare follow-up.</w:t>
      </w:r>
    </w:p>
    <w:p>
      <w:pPr>
        <w:spacing w:before="280" w:after="120"/>
        <w:pBdr>
          <w:bottom w:val="single" w:sz="6" w:space="2" w:color="C2EDD6"/>
        </w:pBdr>
      </w:pPr>
      <w:r>
        <w:rPr>
          <w:b/>
          <w:color w:val="FFFFFF"/>
          <w:sz w:val="20"/>
          <w:shd w:val="clear" w:color="auto" w:fill="05A44E"/>
        </w:rPr>
        <w:t xml:space="preserve"> 3 </w:t>
      </w:r>
      <w:r>
        <w:t xml:space="preserve">  </w:t>
      </w:r>
      <w:r>
        <w:rPr>
          <w:b/>
          <w:color w:val="037A3A"/>
          <w:sz w:val="26"/>
        </w:rPr>
        <w:t>Handling Personal Information</w:t>
      </w:r>
    </w:p>
    <w:p>
      <w:pPr>
        <w:spacing w:before="0" w:after="120"/>
      </w:pPr>
      <w:r>
        <w:rPr>
          <w:sz w:val="22"/>
        </w:rPr>
        <w:t>Trustees may access or store:</w:t>
      </w:r>
    </w:p>
    <w:p>
      <w:pPr>
        <w:pStyle w:val="ListBullet"/>
        <w:spacing w:before="0" w:after="60"/>
      </w:pPr>
      <w:r>
        <w:rPr>
          <w:sz w:val="22"/>
        </w:rPr>
        <w:t>Names</w:t>
      </w:r>
    </w:p>
    <w:p>
      <w:pPr>
        <w:pStyle w:val="ListBullet"/>
        <w:spacing w:before="0" w:after="60"/>
      </w:pPr>
      <w:r>
        <w:rPr>
          <w:sz w:val="22"/>
        </w:rPr>
        <w:t>Phone numbers</w:t>
      </w:r>
    </w:p>
    <w:p>
      <w:pPr>
        <w:pStyle w:val="ListBullet"/>
        <w:spacing w:before="0" w:after="60"/>
      </w:pPr>
      <w:r>
        <w:rPr>
          <w:sz w:val="22"/>
        </w:rPr>
        <w:t>Email addresses</w:t>
      </w:r>
    </w:p>
    <w:p>
      <w:pPr>
        <w:pStyle w:val="ListBullet"/>
        <w:spacing w:before="0" w:after="60"/>
      </w:pPr>
      <w:r>
        <w:rPr>
          <w:sz w:val="22"/>
        </w:rPr>
        <w:t>Home addresses</w:t>
      </w:r>
    </w:p>
    <w:p>
      <w:pPr>
        <w:pStyle w:val="ListBullet"/>
        <w:spacing w:before="0" w:after="60"/>
      </w:pPr>
      <w:r>
        <w:rPr>
          <w:sz w:val="22"/>
        </w:rPr>
        <w:t>Adoption application details</w:t>
      </w:r>
    </w:p>
    <w:p>
      <w:pPr>
        <w:pStyle w:val="ListBullet"/>
        <w:spacing w:before="0" w:after="60"/>
      </w:pPr>
      <w:r>
        <w:rPr>
          <w:sz w:val="22"/>
        </w:rPr>
        <w:t>Shared photos/videos</w:t>
      </w:r>
    </w:p>
    <w:p>
      <w:pPr>
        <w:pStyle w:val="ListBullet"/>
        <w:spacing w:before="0" w:after="60"/>
      </w:pPr>
      <w:r>
        <w:rPr>
          <w:sz w:val="22"/>
        </w:rPr>
        <w:t>Volunteer information</w:t>
      </w:r>
    </w:p>
    <w:p>
      <w:pPr>
        <w:spacing w:before="0" w:after="120"/>
      </w:pPr>
      <w:r>
        <w:rPr>
          <w:sz w:val="22"/>
        </w:rPr>
        <w:t>Trustees must keep this information confidential, secure, and used only for rescue activities.</w:t>
      </w:r>
    </w:p>
    <w:p>
      <w:pPr>
        <w:spacing w:before="280" w:after="120"/>
        <w:pBdr>
          <w:bottom w:val="single" w:sz="6" w:space="2" w:color="C2EDD6"/>
        </w:pBdr>
      </w:pPr>
      <w:r>
        <w:rPr>
          <w:b/>
          <w:color w:val="FFFFFF"/>
          <w:sz w:val="20"/>
          <w:shd w:val="clear" w:color="auto" w:fill="05A44E"/>
        </w:rPr>
        <w:t xml:space="preserve"> 4 </w:t>
      </w:r>
      <w:r>
        <w:t xml:space="preserve">  </w:t>
      </w:r>
      <w:r>
        <w:rPr>
          <w:b/>
          <w:color w:val="037A3A"/>
          <w:sz w:val="26"/>
        </w:rPr>
        <w:t>Social Media &amp; Public Sharing</w:t>
      </w:r>
    </w:p>
    <w:p>
      <w:pPr>
        <w:pStyle w:val="ListBullet"/>
        <w:spacing w:before="0" w:after="60"/>
      </w:pPr>
      <w:r>
        <w:rPr>
          <w:sz w:val="22"/>
        </w:rPr>
        <w:t>No personal details of adopters or volunteers may be posted publicly.</w:t>
      </w:r>
    </w:p>
    <w:p>
      <w:pPr>
        <w:pStyle w:val="ListBullet"/>
        <w:spacing w:before="0" w:after="60"/>
      </w:pPr>
      <w:r>
        <w:rPr>
          <w:sz w:val="22"/>
        </w:rPr>
        <w:t>Photos containing identifiable people must not be shared without consent.</w:t>
      </w:r>
    </w:p>
    <w:p>
      <w:pPr>
        <w:pStyle w:val="ListBullet"/>
        <w:spacing w:before="0" w:after="60"/>
      </w:pPr>
      <w:r>
        <w:rPr>
          <w:sz w:val="22"/>
        </w:rPr>
        <w:t>"Happy adoption" photos require consent from the adopter.</w:t>
      </w:r>
    </w:p>
    <w:p>
      <w:pPr>
        <w:spacing w:before="280" w:after="120"/>
        <w:pBdr>
          <w:bottom w:val="single" w:sz="6" w:space="2" w:color="C2EDD6"/>
        </w:pBdr>
      </w:pPr>
      <w:r>
        <w:rPr>
          <w:b/>
          <w:color w:val="FFFFFF"/>
          <w:sz w:val="20"/>
          <w:shd w:val="clear" w:color="auto" w:fill="05A44E"/>
        </w:rPr>
        <w:t xml:space="preserve"> 5 </w:t>
      </w:r>
      <w:r>
        <w:t xml:space="preserve">  </w:t>
      </w:r>
      <w:r>
        <w:rPr>
          <w:b/>
          <w:color w:val="037A3A"/>
          <w:sz w:val="26"/>
        </w:rPr>
        <w:t>Data Retention</w:t>
      </w:r>
    </w:p>
    <w:p>
      <w:pPr>
        <w:spacing w:before="0" w:after="120"/>
      </w:pPr>
      <w:r>
        <w:rPr>
          <w:sz w:val="22"/>
        </w:rPr>
        <w:t>Data should be kept only as long as legally or operationally required. Outdated notes or contact details must be deleted.</w:t>
      </w:r>
    </w:p>
    <w:p>
      <w:pPr>
        <w:spacing w:before="280" w:after="120"/>
        <w:pBdr>
          <w:bottom w:val="single" w:sz="6" w:space="2" w:color="C2EDD6"/>
        </w:pBdr>
      </w:pPr>
      <w:r>
        <w:rPr>
          <w:b/>
          <w:color w:val="FFFFFF"/>
          <w:sz w:val="20"/>
          <w:shd w:val="clear" w:color="auto" w:fill="05A44E"/>
        </w:rPr>
        <w:t xml:space="preserve"> 6 </w:t>
      </w:r>
      <w:r>
        <w:t xml:space="preserve">  </w:t>
      </w:r>
      <w:r>
        <w:rPr>
          <w:b/>
          <w:color w:val="037A3A"/>
          <w:sz w:val="26"/>
        </w:rPr>
        <w:t>Breach Reporting</w:t>
      </w:r>
    </w:p>
    <w:p>
      <w:pPr>
        <w:spacing w:before="0" w:after="120"/>
      </w:pPr>
      <w:r>
        <w:rPr>
          <w:sz w:val="22"/>
        </w:rPr>
        <w:t>Any suspected data breach must be reported immediately to the Chair or Data Protection Lead.</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7 </w:t>
      </w:r>
      <w:r>
        <w:t xml:space="preserve">  </w:t>
      </w:r>
      <w:r>
        <w:rPr>
          <w:b/>
          <w:color w:val="037A3A"/>
          <w:sz w:val="26"/>
        </w:rPr>
        <w:t>Review &amp; Approval</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5A44E"/>
          </w:tcPr>
          <w:p>
            <w:pPr>
              <w:spacing w:before="80" w:after="80"/>
            </w:pPr>
            <w:r>
              <w:rPr>
                <w:b/>
                <w:color w:val="FFFFFF"/>
                <w:sz w:val="19"/>
              </w:rPr>
              <w:t>Name</w:t>
            </w:r>
          </w:p>
        </w:tc>
        <w:tc>
          <w:tcPr>
            <w:tcW w:type="dxa" w:w="2268"/>
            <w:shd w:val="clear" w:color="auto" w:fill="05A44E"/>
          </w:tcPr>
          <w:p>
            <w:pPr>
              <w:spacing w:before="80" w:after="80"/>
            </w:pPr>
            <w:r>
              <w:rPr>
                <w:b/>
                <w:color w:val="FFFFFF"/>
                <w:sz w:val="19"/>
              </w:rPr>
              <w:t>Role</w:t>
            </w:r>
          </w:p>
        </w:tc>
        <w:tc>
          <w:tcPr>
            <w:tcW w:type="dxa" w:w="2268"/>
            <w:shd w:val="clear" w:color="auto" w:fill="05A44E"/>
          </w:tcPr>
          <w:p>
            <w:pPr>
              <w:spacing w:before="80" w:after="80"/>
            </w:pPr>
            <w:r>
              <w:rPr>
                <w:b/>
                <w:color w:val="FFFFFF"/>
                <w:sz w:val="19"/>
              </w:rPr>
              <w:t>Signature</w:t>
            </w:r>
          </w:p>
        </w:tc>
        <w:tc>
          <w:tcPr>
            <w:tcW w:type="dxa" w:w="2268"/>
            <w:shd w:val="clear" w:color="auto" w:fill="05A44E"/>
          </w:tcPr>
          <w:p>
            <w:pPr>
              <w:spacing w:before="80" w:after="80"/>
            </w:pPr>
            <w:r>
              <w:rPr>
                <w:b/>
                <w:color w:val="FFFFFF"/>
                <w:sz w:val="19"/>
              </w:rPr>
              <w:t>Date</w:t>
            </w:r>
          </w:p>
        </w:tc>
      </w:tr>
      <w:tr>
        <w:tc>
          <w:tcPr>
            <w:tcW w:type="dxa" w:w="2268"/>
            <w:shd w:val="clear" w:color="auto" w:fill="FFFFFF"/>
          </w:tcPr>
          <w:p>
            <w:pPr>
              <w:spacing w:before="320" w:after="320"/>
            </w:pPr>
            <w:r>
              <w:rPr>
                <w:sz w:val="20"/>
              </w:rPr>
              <w:t>Bev Hibbert</w:t>
            </w:r>
          </w:p>
        </w:tc>
        <w:tc>
          <w:tcPr>
            <w:tcW w:type="dxa" w:w="2268"/>
            <w:shd w:val="clear" w:color="auto" w:fill="FFFFFF"/>
          </w:tcPr>
          <w:p>
            <w:pPr>
              <w:spacing w:before="320" w:after="320"/>
            </w:pPr>
            <w:r>
              <w:rPr>
                <w:sz w:val="20"/>
              </w:rPr>
              <w:t>Founder</w:t>
            </w:r>
          </w:p>
        </w:tc>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r>
          </w:p>
        </w:tc>
      </w:tr>
      <w:tr>
        <w:tc>
          <w:tcPr>
            <w:tcW w:type="dxa" w:w="2268"/>
            <w:shd w:val="clear" w:color="auto" w:fill="F9FAFB"/>
          </w:tcPr>
          <w:p>
            <w:pPr>
              <w:spacing w:before="320" w:after="320"/>
            </w:pPr>
            <w:r>
              <w:rPr>
                <w:sz w:val="20"/>
              </w:rPr>
            </w:r>
          </w:p>
        </w:tc>
        <w:tc>
          <w:tcPr>
            <w:tcW w:type="dxa" w:w="2268"/>
            <w:shd w:val="clear" w:color="auto" w:fill="F9FAFB"/>
          </w:tcPr>
          <w:p>
            <w:pPr>
              <w:spacing w:before="320" w:after="320"/>
            </w:pPr>
            <w:r>
              <w:rPr>
                <w:sz w:val="20"/>
              </w:rPr>
              <w:t>Trustee</w:t>
            </w:r>
          </w:p>
        </w:tc>
        <w:tc>
          <w:tcPr>
            <w:tcW w:type="dxa" w:w="2268"/>
            <w:shd w:val="clear" w:color="auto" w:fill="F9FAFB"/>
          </w:tcPr>
          <w:p>
            <w:pPr>
              <w:spacing w:before="320" w:after="320"/>
            </w:pPr>
            <w:r>
              <w:rPr>
                <w:sz w:val="20"/>
              </w:rPr>
            </w:r>
          </w:p>
        </w:tc>
        <w:tc>
          <w:tcPr>
            <w:tcW w:type="dxa" w:w="2268"/>
            <w:shd w:val="clear" w:color="auto" w:fill="F9FAFB"/>
          </w:tcPr>
          <w:p>
            <w:pPr>
              <w:spacing w:before="320" w:after="320"/>
            </w:pPr>
            <w:r>
              <w:rPr>
                <w:sz w:val="20"/>
              </w:rPr>
            </w:r>
          </w:p>
        </w:tc>
      </w:tr>
      <w:tr>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t>Trustee</w:t>
            </w:r>
          </w:p>
        </w:tc>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r>
          </w:p>
        </w:tc>
      </w:tr>
    </w:tbl>
    <w:p/>
    <w:p>
      <w:pPr>
        <w:spacing w:before="280" w:after="120"/>
        <w:pBdr>
          <w:bottom w:val="single" w:sz="6" w:space="2" w:color="C2EDD6"/>
        </w:pBdr>
      </w:pPr>
      <w:r>
        <w:rPr>
          <w:b/>
          <w:color w:val="FFFFFF"/>
          <w:sz w:val="20"/>
          <w:shd w:val="clear" w:color="auto" w:fill="05A44E"/>
        </w:rPr>
        <w:t xml:space="preserve"> 8 </w:t>
      </w:r>
      <w:r>
        <w:t xml:space="preserve">  </w:t>
      </w:r>
      <w:r>
        <w:rPr>
          <w:b/>
          <w:color w:val="037A3A"/>
          <w:sz w:val="26"/>
        </w:rPr>
        <w:t>Version History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11827"/>
          </w:tcPr>
          <w:p>
            <w:pPr>
              <w:spacing w:before="80" w:after="80"/>
            </w:pPr>
            <w:r>
              <w:rPr>
                <w:b/>
                <w:color w:val="FFFFFF"/>
                <w:sz w:val="19"/>
              </w:rPr>
              <w:t>Version</w:t>
            </w:r>
          </w:p>
        </w:tc>
        <w:tc>
          <w:tcPr>
            <w:tcW w:type="dxa" w:w="2268"/>
            <w:shd w:val="clear" w:color="auto" w:fill="111827"/>
          </w:tcPr>
          <w:p>
            <w:pPr>
              <w:spacing w:before="80" w:after="80"/>
            </w:pPr>
            <w:r>
              <w:rPr>
                <w:b/>
                <w:color w:val="FFFFFF"/>
                <w:sz w:val="19"/>
              </w:rPr>
              <w:t>Date</w:t>
            </w:r>
          </w:p>
        </w:tc>
        <w:tc>
          <w:tcPr>
            <w:tcW w:type="dxa" w:w="2268"/>
            <w:shd w:val="clear" w:color="auto" w:fill="111827"/>
          </w:tcPr>
          <w:p>
            <w:pPr>
              <w:spacing w:before="80" w:after="80"/>
            </w:pPr>
            <w:r>
              <w:rPr>
                <w:b/>
                <w:color w:val="FFFFFF"/>
                <w:sz w:val="19"/>
              </w:rPr>
              <w:t>Author</w:t>
            </w:r>
          </w:p>
        </w:tc>
        <w:tc>
          <w:tcPr>
            <w:tcW w:type="dxa" w:w="2268"/>
            <w:shd w:val="clear" w:color="auto" w:fill="111827"/>
          </w:tcPr>
          <w:p>
            <w:pPr>
              <w:spacing w:before="80" w:after="80"/>
            </w:pPr>
            <w:r>
              <w:rPr>
                <w:b/>
                <w:color w:val="FFFFFF"/>
                <w:sz w:val="19"/>
              </w:rPr>
              <w:t>Changes</w:t>
            </w:r>
          </w:p>
        </w:tc>
      </w:tr>
      <w:tr>
        <w:tc>
          <w:tcPr>
            <w:tcW w:type="dxa" w:w="2268"/>
            <w:shd w:val="clear" w:color="auto" w:fill="FFFFFF"/>
          </w:tcPr>
          <w:p>
            <w:pPr>
              <w:spacing w:before="60" w:after="60"/>
            </w:pPr>
            <w:r>
              <w:rPr>
                <w:sz w:val="20"/>
              </w:rPr>
              <w:t>1.0</w:t>
            </w:r>
          </w:p>
        </w:tc>
        <w:tc>
          <w:tcPr>
            <w:tcW w:type="dxa" w:w="2268"/>
            <w:shd w:val="clear" w:color="auto" w:fill="FFFFFF"/>
          </w:tcPr>
          <w:p>
            <w:pPr>
              <w:spacing w:before="60" w:after="60"/>
            </w:pPr>
            <w:r>
              <w:rPr>
                <w:sz w:val="20"/>
              </w:rPr>
              <w:t>[DD Month YYYY]</w:t>
            </w:r>
          </w:p>
        </w:tc>
        <w:tc>
          <w:tcPr>
            <w:tcW w:type="dxa" w:w="2268"/>
            <w:shd w:val="clear" w:color="auto" w:fill="FFFFFF"/>
          </w:tcPr>
          <w:p>
            <w:pPr>
              <w:spacing w:before="60" w:after="60"/>
            </w:pPr>
            <w:r>
              <w:rPr>
                <w:sz w:val="20"/>
              </w:rPr>
              <w:t>Trustees</w:t>
            </w:r>
          </w:p>
        </w:tc>
        <w:tc>
          <w:tcPr>
            <w:tcW w:type="dxa" w:w="2268"/>
            <w:shd w:val="clear" w:color="auto" w:fill="FFFFFF"/>
          </w:tcPr>
          <w:p>
            <w:pPr>
              <w:spacing w:before="60" w:after="60"/>
            </w:pPr>
            <w:r>
              <w:rPr>
                <w:sz w:val="20"/>
              </w:rPr>
              <w:t>Initial version</w:t>
            </w:r>
          </w:p>
        </w:tc>
      </w:tr>
      <w:tr>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r>
    </w:tbl>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GDPR &amp; Data Protection Policy — Trustees / Official Communications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