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Trustee Code of Conduct &amp; Governance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FF-GOV-004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Governance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Purpose</w:t>
      </w:r>
    </w:p>
    <w:p>
      <w:pPr>
        <w:spacing w:before="0" w:after="120"/>
      </w:pPr>
      <w:r>
        <w:rPr>
          <w:sz w:val="22"/>
        </w:rPr>
        <w:t>This policy sets out the standards, governance expectations, and accountability requirements for trustees of Forgotten Felines Cat Rescue.</w:t>
      </w:r>
    </w:p>
    <w:p>
      <w:pPr>
        <w:spacing w:before="0" w:after="120"/>
      </w:pPr>
      <w:r>
        <w:rPr>
          <w:sz w:val="22"/>
        </w:rPr>
        <w:t>It supports trustee duties under Charity Commission guidance and provides clear rules for attendance, conduct, decision-making, and role delivery.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Scope</w:t>
      </w:r>
    </w:p>
    <w:p>
      <w:pPr>
        <w:spacing w:before="0" w:after="120"/>
      </w:pPr>
      <w:r>
        <w:rPr>
          <w:sz w:val="22"/>
        </w:rPr>
        <w:t>This policy applies to all trustees, including officers and trustees who hold additional operational roles.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Trustee Duties and Core Standards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Act only in the charity's best interests</w:t>
      </w:r>
    </w:p>
    <w:p>
      <w:pPr>
        <w:pStyle w:val="ListBullet"/>
        <w:spacing w:before="0" w:after="60"/>
      </w:pPr>
      <w:r>
        <w:rPr>
          <w:sz w:val="22"/>
        </w:rPr>
        <w:t>Manage charity resources responsibly</w:t>
      </w:r>
    </w:p>
    <w:p>
      <w:pPr>
        <w:pStyle w:val="ListBullet"/>
        <w:spacing w:before="0" w:after="60"/>
      </w:pPr>
      <w:r>
        <w:rPr>
          <w:sz w:val="22"/>
        </w:rPr>
        <w:t>Act with reasonable care and skill</w:t>
      </w:r>
    </w:p>
    <w:p>
      <w:pPr>
        <w:pStyle w:val="ListBullet"/>
        <w:spacing w:before="0" w:after="60"/>
      </w:pPr>
      <w:r>
        <w:rPr>
          <w:sz w:val="22"/>
        </w:rPr>
        <w:t>Comply with the charity's governing document and relevant law</w:t>
      </w:r>
    </w:p>
    <w:p>
      <w:pPr>
        <w:pStyle w:val="ListBullet"/>
        <w:spacing w:before="0" w:after="60"/>
      </w:pPr>
      <w:r>
        <w:rPr>
          <w:sz w:val="22"/>
        </w:rPr>
        <w:t>Declare and manage conflicts of interest</w:t>
      </w:r>
    </w:p>
    <w:p>
      <w:pPr>
        <w:pStyle w:val="ListBullet"/>
        <w:spacing w:before="0" w:after="60"/>
      </w:pPr>
      <w:r>
        <w:rPr>
          <w:sz w:val="22"/>
        </w:rPr>
        <w:t>Respect confidentiality and data protection obligations</w:t>
      </w:r>
    </w:p>
    <w:p>
      <w:pPr>
        <w:pStyle w:val="ListBullet"/>
        <w:spacing w:before="0" w:after="60"/>
      </w:pPr>
      <w:r>
        <w:rPr>
          <w:sz w:val="22"/>
        </w:rPr>
        <w:t>Treat colleagues, volunteers, fosterers, adopters, and the public with respect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Role Ownership and Accountability</w:t>
      </w:r>
    </w:p>
    <w:p>
      <w:pPr>
        <w:spacing w:before="0" w:after="120"/>
      </w:pPr>
      <w:r>
        <w:rPr>
          <w:sz w:val="22"/>
        </w:rPr>
        <w:t>Each trustee will have named role responsibilities in the Roles &amp; Responsibilities Register.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Understand and perform their assigned role(s)</w:t>
      </w:r>
    </w:p>
    <w:p>
      <w:pPr>
        <w:pStyle w:val="ListBullet"/>
        <w:spacing w:before="0" w:after="60"/>
      </w:pPr>
      <w:r>
        <w:rPr>
          <w:sz w:val="22"/>
        </w:rPr>
        <w:t>Complete role tasks within agreed timelines</w:t>
      </w:r>
    </w:p>
    <w:p>
      <w:pPr>
        <w:pStyle w:val="ListBullet"/>
        <w:spacing w:before="0" w:after="60"/>
      </w:pPr>
      <w:r>
        <w:rPr>
          <w:sz w:val="22"/>
        </w:rPr>
        <w:t>Escalate blockers early where they cannot deliver</w:t>
      </w:r>
    </w:p>
    <w:p>
      <w:pPr>
        <w:pStyle w:val="ListBullet"/>
        <w:spacing w:before="0" w:after="60"/>
      </w:pPr>
      <w:r>
        <w:rPr>
          <w:sz w:val="22"/>
        </w:rPr>
        <w:t>Support handover when stepping down from a role</w:t>
      </w:r>
    </w:p>
    <w:p>
      <w:pPr>
        <w:spacing w:before="160" w:after="40"/>
      </w:pPr>
      <w:r>
        <w:rPr>
          <w:b/>
          <w:color w:val="111827"/>
          <w:sz w:val="22"/>
        </w:rPr>
        <w:t>Mandatory Participation Rule</w:t>
      </w:r>
    </w:p>
    <w:p>
      <w:pPr>
        <w:spacing w:before="0" w:after="120"/>
      </w:pPr>
      <w:r>
        <w:rPr>
          <w:sz w:val="22"/>
        </w:rPr>
        <w:t>Being a trustee means you agree to:</w:t>
      </w:r>
    </w:p>
    <w:p>
      <w:pPr>
        <w:pStyle w:val="ListBullet"/>
        <w:spacing w:before="0" w:after="60"/>
      </w:pPr>
      <w:r>
        <w:rPr>
          <w:sz w:val="22"/>
        </w:rPr>
        <w:t>Turn up to trustee meetings, and</w:t>
      </w:r>
    </w:p>
    <w:p>
      <w:pPr>
        <w:pStyle w:val="ListBullet"/>
        <w:spacing w:before="0" w:after="60"/>
      </w:pPr>
      <w:r>
        <w:rPr>
          <w:sz w:val="22"/>
        </w:rPr>
        <w:t>Perform your assigned role.</w:t>
      </w:r>
    </w:p>
    <w:p>
      <w:pPr>
        <w:spacing w:before="0" w:after="120"/>
      </w:pPr>
      <w:r>
        <w:rPr>
          <w:sz w:val="22"/>
        </w:rPr>
        <w:t xml:space="preserve">If a trustee misses </w:t>
      </w:r>
      <w:r>
        <w:rPr>
          <w:b/>
          <w:sz w:val="22"/>
        </w:rPr>
        <w:t>3 trustee meetings</w:t>
      </w:r>
      <w:r>
        <w:rPr>
          <w:sz w:val="22"/>
        </w:rPr>
        <w:t>, their status as a trustee will be formally reviewed by the trustee group.</w:t>
      </w:r>
    </w:p>
    <w:p>
      <w:pPr>
        <w:spacing w:before="0" w:after="120"/>
      </w:pPr>
      <w:r>
        <w:rPr>
          <w:sz w:val="22"/>
        </w:rPr>
        <w:t>Possible outcomes include:</w:t>
      </w:r>
    </w:p>
    <w:p>
      <w:pPr>
        <w:pStyle w:val="ListBullet"/>
        <w:spacing w:before="0" w:after="60"/>
      </w:pPr>
      <w:r>
        <w:rPr>
          <w:sz w:val="22"/>
        </w:rPr>
        <w:t>Support plan and continuation</w:t>
      </w:r>
    </w:p>
    <w:p>
      <w:pPr>
        <w:pStyle w:val="ListBullet"/>
        <w:spacing w:before="0" w:after="60"/>
      </w:pPr>
      <w:r>
        <w:rPr>
          <w:sz w:val="22"/>
        </w:rPr>
        <w:t>Role reassignment</w:t>
      </w:r>
    </w:p>
    <w:p>
      <w:pPr>
        <w:pStyle w:val="ListBullet"/>
        <w:spacing w:before="0" w:after="60"/>
      </w:pPr>
      <w:r>
        <w:rPr>
          <w:sz w:val="22"/>
        </w:rPr>
        <w:t>Temporary suspension from trustee duties</w:t>
      </w:r>
    </w:p>
    <w:p>
      <w:pPr>
        <w:pStyle w:val="ListBullet"/>
        <w:spacing w:before="0" w:after="60"/>
      </w:pPr>
      <w:r>
        <w:rPr>
          <w:sz w:val="22"/>
        </w:rPr>
        <w:t>Recommendation to step down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Meetings and Decision-Making</w:t>
      </w:r>
    </w:p>
    <w:p>
      <w:pPr>
        <w:pStyle w:val="ListBullet"/>
        <w:spacing w:before="0" w:after="60"/>
      </w:pPr>
      <w:r>
        <w:rPr>
          <w:sz w:val="22"/>
        </w:rPr>
        <w:t>Trustee meetings will be held at an agreed regular cadence.</w:t>
      </w:r>
    </w:p>
    <w:p>
      <w:pPr>
        <w:pStyle w:val="ListBullet"/>
        <w:spacing w:before="0" w:after="60"/>
      </w:pPr>
      <w:r>
        <w:rPr>
          <w:sz w:val="22"/>
        </w:rPr>
        <w:t>Agenda and papers should be circulated in advance where practical.</w:t>
      </w:r>
    </w:p>
    <w:p>
      <w:pPr>
        <w:pStyle w:val="ListBullet"/>
        <w:spacing w:before="0" w:after="60"/>
      </w:pPr>
      <w:r>
        <w:rPr>
          <w:sz w:val="22"/>
        </w:rPr>
        <w:t>Decisions should be recorded in meeting minutes with clear actions and owners.</w:t>
      </w:r>
    </w:p>
    <w:p>
      <w:pPr>
        <w:pStyle w:val="ListBullet"/>
        <w:spacing w:before="0" w:after="60"/>
      </w:pPr>
      <w:r>
        <w:rPr>
          <w:sz w:val="22"/>
        </w:rPr>
        <w:t>Material decisions (financial commitments, policy approvals, safeguarding escalations) must be minuted.</w:t>
      </w:r>
    </w:p>
    <w:p>
      <w:pPr>
        <w:pStyle w:val="ListBullet"/>
        <w:spacing w:before="0" w:after="60"/>
      </w:pPr>
      <w:r>
        <w:rPr>
          <w:sz w:val="22"/>
        </w:rPr>
        <w:t>Trustee votes may be used where consensus cannot be reached.</w:t>
      </w:r>
    </w:p>
    <w:p>
      <w:pPr>
        <w:pStyle w:val="ListBullet"/>
        <w:spacing w:before="0" w:after="60"/>
      </w:pPr>
      <w:r>
        <w:rPr>
          <w:sz w:val="22"/>
        </w:rPr>
        <w:t>Chair holds a casting vote where required by governance practice.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Conflicts of Interest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Declare actual, potential, or perceived conflicts promptly</w:t>
      </w:r>
    </w:p>
    <w:p>
      <w:pPr>
        <w:pStyle w:val="ListBullet"/>
        <w:spacing w:before="0" w:after="60"/>
      </w:pPr>
      <w:r>
        <w:rPr>
          <w:sz w:val="22"/>
        </w:rPr>
        <w:t>Record conflicts in a conflicts register</w:t>
      </w:r>
    </w:p>
    <w:p>
      <w:pPr>
        <w:pStyle w:val="ListBullet"/>
        <w:spacing w:before="0" w:after="60"/>
      </w:pPr>
      <w:r>
        <w:rPr>
          <w:sz w:val="22"/>
        </w:rPr>
        <w:t>Withdraw from discussion/vote where appropriate</w:t>
      </w:r>
    </w:p>
    <w:p>
      <w:pPr>
        <w:pStyle w:val="ListBullet"/>
        <w:spacing w:before="0" w:after="60"/>
      </w:pPr>
      <w:r>
        <w:rPr>
          <w:sz w:val="22"/>
        </w:rPr>
        <w:t>Not use trustee position for personal gain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Behaviour and Conduct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Follow the Harassment Policy and Bullying Policy</w:t>
      </w:r>
    </w:p>
    <w:p>
      <w:pPr>
        <w:pStyle w:val="ListBullet"/>
        <w:spacing w:before="0" w:after="60"/>
      </w:pPr>
      <w:r>
        <w:rPr>
          <w:sz w:val="22"/>
        </w:rPr>
        <w:t>Communicate professionally in meetings, group chats, and public spaces</w:t>
      </w:r>
    </w:p>
    <w:p>
      <w:pPr>
        <w:pStyle w:val="ListBullet"/>
        <w:spacing w:before="0" w:after="60"/>
      </w:pPr>
      <w:r>
        <w:rPr>
          <w:sz w:val="22"/>
        </w:rPr>
        <w:t>Avoid defamatory, threatening, discriminatory, or abusive conduct</w:t>
      </w:r>
    </w:p>
    <w:p>
      <w:pPr>
        <w:pStyle w:val="ListBullet"/>
        <w:spacing w:before="0" w:after="60"/>
      </w:pPr>
      <w:r>
        <w:rPr>
          <w:sz w:val="22"/>
        </w:rPr>
        <w:t>Respect agreed communication channels for sensitive matters</w:t>
      </w:r>
    </w:p>
    <w:p>
      <w:pPr>
        <w:spacing w:before="0" w:after="120"/>
      </w:pPr>
      <w:r>
        <w:rPr>
          <w:sz w:val="22"/>
        </w:rPr>
        <w:t>Breaches may trigger governance review and formal action.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Safeguarding, Incident, and Regulatory Escalation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Escalate safeguarding concerns immediately via the Safeguarding Lead route</w:t>
      </w:r>
    </w:p>
    <w:p>
      <w:pPr>
        <w:pStyle w:val="ListBullet"/>
        <w:spacing w:before="0" w:after="60"/>
      </w:pPr>
      <w:r>
        <w:rPr>
          <w:sz w:val="22"/>
        </w:rPr>
        <w:t>Report serious incidents through the agreed Serious Incident process</w:t>
      </w:r>
    </w:p>
    <w:p>
      <w:pPr>
        <w:pStyle w:val="ListBullet"/>
        <w:spacing w:before="0" w:after="60"/>
      </w:pPr>
      <w:r>
        <w:rPr>
          <w:sz w:val="22"/>
        </w:rPr>
        <w:t>Escalate reportable data breaches to the Data Protection Lead without delay</w:t>
      </w:r>
    </w:p>
    <w:p>
      <w:pPr>
        <w:pStyle w:val="ListBullet"/>
        <w:spacing w:before="0" w:after="60"/>
      </w:pPr>
      <w:r>
        <w:rPr>
          <w:sz w:val="22"/>
        </w:rPr>
        <w:t>Support submissions to Charity Commission, ICO, or other regulators as required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t xml:space="preserve">  </w:t>
      </w:r>
      <w:r>
        <w:rPr>
          <w:b/>
          <w:color w:val="037A3A"/>
          <w:sz w:val="26"/>
        </w:rPr>
        <w:t>Information Governance and Confidentiality</w:t>
      </w:r>
    </w:p>
    <w:p>
      <w:pPr>
        <w:spacing w:before="0" w:after="120"/>
      </w:pPr>
      <w:r>
        <w:rPr>
          <w:sz w:val="22"/>
        </w:rPr>
        <w:t>Trustees must:</w:t>
      </w:r>
    </w:p>
    <w:p>
      <w:pPr>
        <w:pStyle w:val="ListBullet"/>
        <w:spacing w:before="0" w:after="60"/>
      </w:pPr>
      <w:r>
        <w:rPr>
          <w:sz w:val="22"/>
        </w:rPr>
        <w:t>Use charity-approved channels for sensitive or personal data</w:t>
      </w:r>
    </w:p>
    <w:p>
      <w:pPr>
        <w:pStyle w:val="ListBullet"/>
        <w:spacing w:before="0" w:after="60"/>
      </w:pPr>
      <w:r>
        <w:rPr>
          <w:sz w:val="22"/>
        </w:rPr>
        <w:t>Follow GDPR Trustee Policy and Data Retention Policy</w:t>
      </w:r>
    </w:p>
    <w:p>
      <w:pPr>
        <w:pStyle w:val="ListBullet"/>
        <w:spacing w:before="0" w:after="60"/>
      </w:pPr>
      <w:r>
        <w:rPr>
          <w:sz w:val="22"/>
        </w:rPr>
        <w:t>Keep trustee documents secure and access-controlled</w:t>
      </w:r>
    </w:p>
    <w:p>
      <w:pPr>
        <w:pStyle w:val="ListBullet"/>
        <w:spacing w:before="0" w:after="60"/>
      </w:pPr>
      <w:r>
        <w:rPr>
          <w:sz w:val="22"/>
        </w:rPr>
        <w:t>Avoid sharing confidential information outside legitimate governance need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10 </w:t>
      </w:r>
      <w:r>
        <w:t xml:space="preserve">  </w:t>
      </w:r>
      <w:r>
        <w:rPr>
          <w:b/>
          <w:color w:val="037A3A"/>
          <w:sz w:val="26"/>
        </w:rPr>
        <w:t>Breach Management</w:t>
      </w:r>
    </w:p>
    <w:p>
      <w:pPr>
        <w:spacing w:before="0" w:after="120"/>
      </w:pPr>
      <w:r>
        <w:rPr>
          <w:sz w:val="22"/>
        </w:rPr>
        <w:t>Possible responses to breach of this policy include:</w:t>
      </w:r>
    </w:p>
    <w:p>
      <w:pPr>
        <w:pStyle w:val="ListBullet"/>
        <w:spacing w:before="0" w:after="60"/>
      </w:pPr>
      <w:r>
        <w:rPr>
          <w:sz w:val="22"/>
        </w:rPr>
        <w:t>Informal warning and corrective action</w:t>
      </w:r>
    </w:p>
    <w:p>
      <w:pPr>
        <w:pStyle w:val="ListBullet"/>
        <w:spacing w:before="0" w:after="60"/>
      </w:pPr>
      <w:r>
        <w:rPr>
          <w:sz w:val="22"/>
        </w:rPr>
        <w:t>Formal warning recorded in trustee minutes</w:t>
      </w:r>
    </w:p>
    <w:p>
      <w:pPr>
        <w:pStyle w:val="ListBullet"/>
        <w:spacing w:before="0" w:after="60"/>
      </w:pPr>
      <w:r>
        <w:rPr>
          <w:sz w:val="22"/>
        </w:rPr>
        <w:t>Role restriction or removal</w:t>
      </w:r>
    </w:p>
    <w:p>
      <w:pPr>
        <w:pStyle w:val="ListBullet"/>
        <w:spacing w:before="0" w:after="60"/>
      </w:pPr>
      <w:r>
        <w:rPr>
          <w:sz w:val="22"/>
        </w:rPr>
        <w:t>Trustee status review</w:t>
      </w:r>
    </w:p>
    <w:p>
      <w:pPr>
        <w:pStyle w:val="ListBullet"/>
        <w:spacing w:before="0" w:after="60"/>
      </w:pPr>
      <w:r>
        <w:rPr>
          <w:sz w:val="22"/>
        </w:rPr>
        <w:t>Referral to regulators/statutory bodies where required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11 </w:t>
      </w:r>
      <w:r>
        <w:t xml:space="preserve">  </w:t>
      </w:r>
      <w:r>
        <w:rPr>
          <w:b/>
          <w:color w:val="037A3A"/>
          <w:sz w:val="26"/>
        </w:rPr>
        <w:t>Induction and Annual Confirmation</w:t>
      </w:r>
    </w:p>
    <w:p>
      <w:pPr>
        <w:pStyle w:val="ListBullet"/>
        <w:spacing w:before="0" w:after="60"/>
      </w:pPr>
      <w:r>
        <w:rPr>
          <w:sz w:val="22"/>
        </w:rPr>
        <w:t>New trustees must receive this policy on appointment.</w:t>
      </w:r>
    </w:p>
    <w:p>
      <w:pPr>
        <w:pStyle w:val="ListBullet"/>
        <w:spacing w:before="0" w:after="60"/>
      </w:pPr>
      <w:r>
        <w:rPr>
          <w:sz w:val="22"/>
        </w:rPr>
        <w:t>Trustees confirm understanding and acceptance in writing.</w:t>
      </w:r>
    </w:p>
    <w:p>
      <w:pPr>
        <w:pStyle w:val="ListBullet"/>
        <w:spacing w:before="0" w:after="60"/>
      </w:pPr>
      <w:r>
        <w:rPr>
          <w:sz w:val="22"/>
        </w:rPr>
        <w:t>Trustees re-confirm annually as part of governance review.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12 </w:t>
      </w:r>
      <w:r>
        <w:t xml:space="preserve">  </w:t>
      </w:r>
      <w:r>
        <w:rPr>
          <w:b/>
          <w:color w:val="037A3A"/>
          <w:sz w:val="26"/>
        </w:rPr>
        <w:t>Related Documents</w:t>
      </w:r>
    </w:p>
    <w:p>
      <w:pPr>
        <w:pStyle w:val="ListBullet"/>
        <w:spacing w:before="0" w:after="60"/>
      </w:pPr>
      <w:r>
        <w:rPr>
          <w:sz w:val="22"/>
        </w:rPr>
        <w:t>Roles &amp; Responsibilities Register</w:t>
      </w:r>
    </w:p>
    <w:p>
      <w:pPr>
        <w:pStyle w:val="ListBullet"/>
        <w:spacing w:before="0" w:after="60"/>
      </w:pPr>
      <w:r>
        <w:rPr>
          <w:sz w:val="22"/>
        </w:rPr>
        <w:t>Harassment Policy</w:t>
      </w:r>
    </w:p>
    <w:p>
      <w:pPr>
        <w:pStyle w:val="ListBullet"/>
        <w:spacing w:before="0" w:after="60"/>
      </w:pPr>
      <w:r>
        <w:rPr>
          <w:sz w:val="22"/>
        </w:rPr>
        <w:t>Bullying Policy</w:t>
      </w:r>
    </w:p>
    <w:p>
      <w:pPr>
        <w:pStyle w:val="ListBullet"/>
        <w:spacing w:before="0" w:after="60"/>
      </w:pPr>
      <w:r>
        <w:rPr>
          <w:sz w:val="22"/>
        </w:rPr>
        <w:t>Safeguarding Policy</w:t>
      </w:r>
    </w:p>
    <w:p>
      <w:pPr>
        <w:pStyle w:val="ListBullet"/>
        <w:spacing w:before="0" w:after="60"/>
      </w:pPr>
      <w:r>
        <w:rPr>
          <w:sz w:val="22"/>
        </w:rPr>
        <w:t>Incident Reporting &amp; Complaints Policy</w:t>
      </w:r>
    </w:p>
    <w:p>
      <w:pPr>
        <w:pStyle w:val="ListBullet"/>
        <w:spacing w:before="0" w:after="60"/>
      </w:pPr>
      <w:r>
        <w:rPr>
          <w:sz w:val="22"/>
        </w:rPr>
        <w:t>Financial Policy</w:t>
      </w:r>
    </w:p>
    <w:p>
      <w:pPr>
        <w:pStyle w:val="ListBullet"/>
        <w:spacing w:before="0" w:after="60"/>
      </w:pPr>
      <w:r>
        <w:rPr>
          <w:sz w:val="22"/>
        </w:rPr>
        <w:t>GDPR Trustee Policy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13 </w:t>
      </w:r>
      <w:r>
        <w:t xml:space="preserve">  </w:t>
      </w:r>
      <w:r>
        <w:rPr>
          <w:b/>
          <w:color w:val="037A3A"/>
          <w:sz w:val="26"/>
        </w:rPr>
        <w:t>Review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14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15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Trustee Code of Conduct &amp; Governance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