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5A44E"/>
        <w:spacing w:before="0" w:after="0"/>
      </w:pPr>
      <w:r>
        <w:rPr>
          <w:b/>
          <w:color w:val="FFFFFF"/>
          <w:sz w:val="17"/>
        </w:rPr>
        <w:t>REGISTER</w:t>
      </w:r>
    </w:p>
    <w:p>
      <w:pPr>
        <w:shd w:val="clear" w:color="auto" w:fill="05A44E"/>
        <w:spacing w:before="0" w:after="240"/>
      </w:pPr>
      <w:r>
        <w:rPr>
          <w:color w:val="FFFFFF"/>
          <w:sz w:val="44"/>
        </w:rPr>
        <w:t>Roles &amp; Responsibilities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Version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v0.8 (Draft)</w:t>
            </w:r>
          </w:p>
        </w:tc>
        <w:tc>
          <w:tcPr>
            <w:tcW w:type="dxa" w:w="2409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Status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Draft — 2 roles TBC</w:t>
            </w:r>
          </w:p>
        </w:tc>
      </w:tr>
      <w:tr>
        <w:tc>
          <w:tcPr>
            <w:tcW w:type="dxa" w:w="2409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Date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12 April 2026</w:t>
            </w:r>
          </w:p>
        </w:tc>
        <w:tc>
          <w:tcPr>
            <w:tcW w:type="dxa" w:w="2409"/>
            <w:shd w:val="clear" w:color="auto" w:fill="C2EDD6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Next Review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12 April 2027</w:t>
            </w:r>
          </w:p>
        </w:tc>
      </w:tr>
      <w:tr>
        <w:tc>
          <w:tcPr>
            <w:tcW w:type="dxa" w:w="2409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Owner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Sam Mathias</w:t>
            </w:r>
          </w:p>
        </w:tc>
        <w:tc>
          <w:tcPr>
            <w:tcW w:type="dxa" w:w="2409"/>
            <w:shd w:val="clear" w:color="auto" w:fill="E6F8EF"/>
          </w:tcPr>
          <w:p>
            <w:pPr>
              <w:spacing w:before="60" w:after="60"/>
            </w:pPr>
            <w:r>
              <w:rPr>
                <w:b/>
                <w:color w:val="037A3A"/>
                <w:sz w:val="19"/>
              </w:rPr>
              <w:t>Approved By</w:t>
            </w:r>
          </w:p>
        </w:tc>
        <w:tc>
          <w:tcPr>
            <w:tcW w:type="dxa" w:w="2409"/>
            <w:shd w:val="clear" w:color="auto" w:fill="FFFFFF"/>
          </w:tcPr>
          <w:p>
            <w:pPr>
              <w:spacing w:before="60" w:after="60"/>
            </w:pPr>
            <w:r>
              <w:rPr>
                <w:b w:val="0"/>
                <w:color w:val="111827"/>
                <w:sz w:val="19"/>
              </w:rPr>
              <w:t>Pending trustee sign-off</w:t>
            </w:r>
          </w:p>
        </w:tc>
      </w:tr>
    </w:tbl>
    <w:p/>
    <w:p>
      <w:pPr>
        <w:shd w:val="clear" w:color="auto" w:fill="E6F8EF"/>
        <w:spacing w:before="0" w:after="200"/>
        <w:pBdr>
          <w:left w:val="single" w:sz="24" w:space="12" w:color="05A44E"/>
        </w:pBdr>
      </w:pPr>
      <w:r>
        <w:rPr>
          <w:i/>
          <w:color w:val="111827"/>
          <w:sz w:val="20"/>
        </w:rPr>
        <w:t>Roles marked [TBC] must be assigned before the policy suite can be published. Until assigned, Bev Hibbert (Chair) holds responsibility by default.</w:t>
      </w:r>
    </w:p>
    <w:p>
      <w:pPr>
        <w:spacing w:before="280" w:after="120"/>
        <w:pBdr>
          <w:bottom w:val="single" w:sz="6" w:space="2" w:color="C2EDD6"/>
        </w:pBdr>
      </w:pPr>
      <w:r>
        <w:rPr>
          <w:b/>
          <w:color w:val="037A3A"/>
          <w:sz w:val="24"/>
        </w:rPr>
        <w:t>Governance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Named Individual</w:t>
            </w:r>
          </w:p>
        </w:tc>
        <w:tc>
          <w:tcPr>
            <w:tcW w:type="dxa" w:w="3969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Overview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Chair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Casting vote on trustee decisions; leads trustee meetings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Founder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Established the charity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Treasurer / Accounts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Bev Hibbert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Day-to-day financial management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Lottery Licence Holder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b/>
                <w:color w:val="CC4400"/>
                <w:sz w:val="20"/>
              </w:rPr>
              <w:t>[TBC]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Named individual on Gambling Act licence — must verify against licence document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Data Protection Lead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Sam Mathias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Handles subject access requests; reports breaches to ICO within 72 hours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Safeguarding Lead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Named lead for recognising and escalating safeguarding concerns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Crisis / Media Contact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Speaks for the charity if an incident becomes public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Policy Management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Sam Mathias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Maintains and updates the policy suite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037A3A"/>
          <w:sz w:val="24"/>
        </w:rPr>
        <w:t>Operations — Cat Care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Named Individual</w:t>
            </w:r>
          </w:p>
        </w:tc>
        <w:tc>
          <w:tcPr>
            <w:tcW w:type="dxa" w:w="3969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Overview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Cat Intake Lead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b/>
                <w:color w:val="CC4400"/>
                <w:sz w:val="20"/>
              </w:rPr>
              <w:t>[TBC]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Formally accepts cats into the rescue's care (relinquishments, strays)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Transport Coordinator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Celia Maher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Coordinates and authorises cat transport logistics across foster, vet, and adoption journeys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Senior Cats Lead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Claire Burgess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Leads welfare planning and placement oversight for older cats in care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Microchipping / Chip Changes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Sam Mathias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Manages microchip registration and transfers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Flea &amp; Wormer Treatments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Sam Mathias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Administers routine parasite treatments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Food Ordering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Rhian Vaughan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Coordinates food purchasing for the foster network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Vet Liaison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Primary contact with nominated vet practice(s)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Home Checker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Trustee vote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Virtual home assessment — decision made collectively by trustees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037A3A"/>
          <w:sz w:val="24"/>
        </w:rPr>
        <w:t>Operations — Adoptions &amp; Fostering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Named Individual</w:t>
            </w:r>
          </w:p>
        </w:tc>
        <w:tc>
          <w:tcPr>
            <w:tcW w:type="dxa" w:w="3969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Overview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Adoption Approvals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Trustee vote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Decision made collectively by trustees — no single named approver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Foster Coordinator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Becca James, Julia Card, Rhian Vaughan, Claire Burgess, Sam Mathias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Shared role — coordinates foster placements and visits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On-Call Contact (Fosterers)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Becca James, Julia Card, Rhian Vaughan, Claire Burgess, Sam Mathias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Rota shared across Foster Coordinators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Long-Term Foster Lead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Claire Burgess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Oversees long-stay placements, welfare review cadence, and capacity planning</w:t>
            </w:r>
          </w:p>
        </w:tc>
      </w:tr>
    </w:tbl>
    <w:p/>
    <w:p>
      <w:pPr>
        <w:spacing w:before="280" w:after="120"/>
        <w:pBdr>
          <w:bottom w:val="single" w:sz="6" w:space="2" w:color="C2EDD6"/>
        </w:pBdr>
      </w:pPr>
      <w:r>
        <w:rPr>
          <w:b/>
          <w:color w:val="037A3A"/>
          <w:sz w:val="24"/>
        </w:rPr>
        <w:t>Communications &amp; Administration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118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551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Named Individual</w:t>
            </w:r>
          </w:p>
        </w:tc>
        <w:tc>
          <w:tcPr>
            <w:tcW w:type="dxa" w:w="3969"/>
            <w:shd w:val="clear" w:color="auto" w:fill="05A44E"/>
          </w:tcPr>
          <w:p>
            <w:pPr>
              <w:spacing w:before="80" w:after="80"/>
            </w:pPr>
            <w:r>
              <w:rPr>
                <w:b/>
                <w:color w:val="FFFFFF"/>
                <w:sz w:val="19"/>
              </w:rPr>
              <w:t>Overview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Main Social Media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Facebook, Instagram, TikTok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Website Content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Content updates on the charity website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Website Technical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Sam Mathias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Technical maintenance and updates</w:t>
            </w:r>
          </w:p>
        </w:tc>
      </w:tr>
      <w:tr>
        <w:tc>
          <w:tcPr>
            <w:tcW w:type="dxa" w:w="3118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Insurance</w:t>
            </w:r>
          </w:p>
        </w:tc>
        <w:tc>
          <w:tcPr>
            <w:tcW w:type="dxa" w:w="2551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9FAFB"/>
          </w:tcPr>
          <w:p>
            <w:pPr>
              <w:spacing w:before="60" w:after="60"/>
            </w:pPr>
            <w:r>
              <w:rPr>
                <w:sz w:val="20"/>
              </w:rPr>
              <w:t>Manages charity insurance renewal and claims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Fundraising Lead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Becca James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60" w:after="60"/>
            </w:pPr>
            <w:r>
              <w:rPr>
                <w:sz w:val="20"/>
              </w:rPr>
              <w:t>Coordinates fundraising activities and events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669"/>
          <w:shd w:val="clear" w:color="auto" w:fill="111827"/>
        </w:tcPr>
        <w:p>
          <w:pPr>
            <w:spacing w:before="80" w:after="80"/>
          </w:pPr>
          <w:r>
            <w:rPr>
              <w:color w:val="FFFFFF"/>
              <w:sz w:val="16"/>
            </w:rPr>
            <w:t>Forgotten Felines Cat Rescue — Charity No. 1181190</w:t>
          </w:r>
        </w:p>
      </w:tc>
      <w:tc>
        <w:tcPr>
          <w:tcW w:type="dxa" w:w="3969"/>
          <w:shd w:val="clear" w:color="auto" w:fill="111827"/>
        </w:tcPr>
        <w:p>
          <w:pPr>
            <w:spacing w:before="80" w:after="80"/>
            <w:jc w:val="right"/>
          </w:pPr>
          <w:r>
            <w:rPr>
              <w:color w:val="FFFFFF"/>
              <w:sz w:val="16"/>
            </w:rPr>
            <w:t>Roles &amp; Responsibilities Register  |  v0.8 (Draft)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4819"/>
      <w:gridCol w:w="4819"/>
    </w:tblGrid>
    <w:tr>
      <w:tc>
        <w:tcPr>
          <w:tcW w:type="dxa" w:w="5102"/>
        </w:tcPr>
        <w:p>
          <w:r>
            <w:drawing>
              <wp:inline xmlns:a="http://schemas.openxmlformats.org/drawingml/2006/main" xmlns:pic="http://schemas.openxmlformats.org/drawingml/2006/picture">
                <wp:extent cx="1208869" cy="57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8869" cy="57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</w:tcPr>
        <w:p>
          <w:pPr>
            <w:spacing w:before="0" w:after="20"/>
            <w:jc w:val="right"/>
          </w:pPr>
          <w:r>
            <w:rPr>
              <w:b/>
              <w:color w:val="111827"/>
              <w:sz w:val="17"/>
            </w:rPr>
            <w:t>Forgotten Felines Cat Rescue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Registered Charity No. 1181190</w:t>
          </w:r>
        </w:p>
        <w:p>
          <w:pPr>
            <w:spacing w:before="0" w:after="20"/>
            <w:jc w:val="right"/>
          </w:pPr>
          <w:r>
            <w:rPr>
              <w:color w:val="111827"/>
              <w:sz w:val="17"/>
            </w:rPr>
            <w:t>forgottenfelineswales.org</w:t>
          </w:r>
        </w:p>
      </w:tc>
    </w:tr>
  </w:tbl>
  <w:p>
    <w:pPr>
      <w:spacing w:before="80" w:after="0"/>
      <w:pBdr>
        <w:bottom w:val="single" w:sz="18" w:space="1" w:color="05A44E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