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Policy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1. Purpose</w:t>
      </w:r>
    </w:p>
    <w:p>
      <w:r>
        <w:t>This policy sets out how Forgotten Felines manages income, expenditure, reserves, records, and financial controls to protect charity funds and meet governance obligations.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2. Scope</w:t>
      </w:r>
    </w:p>
    <w:p>
      <w:r>
        <w:t>This policy applies to all trustees and volunteers handling charity money, payments, fundraising proceeds, reimbursement claims, and financial records.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3. Financial Roles</w:t>
      </w:r>
    </w:p>
    <w:p>
      <w:pPr>
        <w:pStyle w:val="ListBullet"/>
      </w:pPr>
      <w:r>
        <w:rPr>
          <w:b/>
        </w:rPr>
        <w:t>Treasurer / Accounts:</w:t>
      </w:r>
      <w:r>
        <w:t xml:space="preserve"> day-to-day bookkeeping, reconciliations, financial reporting.</w:t>
      </w:r>
    </w:p>
    <w:p>
      <w:pPr>
        <w:pStyle w:val="ListBullet"/>
      </w:pPr>
      <w:r>
        <w:rPr>
          <w:b/>
        </w:rPr>
        <w:t>Chair:</w:t>
      </w:r>
      <w:r>
        <w:t xml:space="preserve"> oversight and escalation for irregularities.</w:t>
      </w:r>
    </w:p>
    <w:p>
      <w:pPr>
        <w:pStyle w:val="ListBullet"/>
      </w:pPr>
      <w:r>
        <w:rPr>
          <w:b/>
        </w:rPr>
        <w:t>Trustee Group:</w:t>
      </w:r>
      <w:r>
        <w:t xml:space="preserve"> approval of budgets, major spend, reserves position, and annual accounts.</w:t>
      </w:r>
    </w:p>
    <w:p>
      <w:pPr>
        <w:pStyle w:val="ListBullet"/>
      </w:pPr>
      <w:r>
        <w:rPr>
          <w:b/>
        </w:rPr>
        <w:t>Fundraising Lead:</w:t>
      </w:r>
      <w:r>
        <w:t xml:space="preserve"> event income tracking and handover of records/funds.</w:t>
      </w:r>
    </w:p>
    <w:p>
      <w:r>
        <w:t>Role ownership must match the Roles &amp; Responsibilities Register.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4. Core Financial Principles</w:t>
      </w:r>
    </w:p>
    <w:p>
      <w:pPr>
        <w:pStyle w:val="ListBullet"/>
      </w:pPr>
      <w:r>
        <w:t>Charity funds are used only for charitable purposes.</w:t>
      </w:r>
    </w:p>
    <w:p>
      <w:pPr>
        <w:pStyle w:val="ListBullet"/>
      </w:pPr>
      <w:r>
        <w:t>Spending decisions must be transparent and documented.</w:t>
      </w:r>
    </w:p>
    <w:p>
      <w:pPr>
        <w:pStyle w:val="ListBullet"/>
      </w:pPr>
      <w:r>
        <w:t>No one person should control authorisation, payment, and reconciliation end-to-end.</w:t>
      </w:r>
    </w:p>
    <w:p>
      <w:pPr>
        <w:pStyle w:val="ListBullet"/>
      </w:pPr>
      <w:r>
        <w:t>Records must be complete, accurate, and auditable.</w:t>
      </w:r>
    </w:p>
    <w:p>
      <w:pPr>
        <w:pStyle w:val="ListBullet"/>
      </w:pPr>
      <w:r>
        <w:t>Personal and charity funds/accounts must never be mixed.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5. Bank Accounts and Payment Controls</w:t>
      </w:r>
    </w:p>
    <w:p>
      <w:pPr>
        <w:pStyle w:val="ListBullet"/>
      </w:pPr>
      <w:r>
        <w:t>Charity funds must be held in a charity-controlled account.</w:t>
      </w:r>
    </w:p>
    <w:p>
      <w:pPr>
        <w:pStyle w:val="ListBullet"/>
      </w:pPr>
      <w:r>
        <w:t>Bank access must be limited to authorised trustees.</w:t>
      </w:r>
    </w:p>
    <w:p>
      <w:pPr>
        <w:pStyle w:val="ListBullet"/>
      </w:pPr>
      <w:r>
        <w:t>At least two trustees must have account visibility.</w:t>
      </w:r>
    </w:p>
    <w:p>
      <w:pPr>
        <w:pStyle w:val="ListBullet"/>
      </w:pPr>
      <w:r>
        <w:t>Payment evidence (invoice/receipt/approval) must be retained for each transaction.</w:t>
      </w:r>
    </w:p>
    <w:p>
      <w:pPr>
        <w:pStyle w:val="ListBullet"/>
      </w:pPr>
      <w:r>
        <w:t>Trustee changes must trigger immediate access review and update.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6. Spending Authorisation Levels</w:t>
      </w:r>
    </w:p>
    <w:p>
      <w:r>
        <w:t>Default limits (unless trustees approve exceptions):</w:t>
      </w:r>
    </w:p>
    <w:p>
      <w:pPr>
        <w:pStyle w:val="ListBullet"/>
      </w:pPr>
      <w:r>
        <w:t>Up to £100: one authorised trustee approval</w:t>
      </w:r>
    </w:p>
    <w:p>
      <w:pPr>
        <w:pStyle w:val="ListBullet"/>
      </w:pPr>
      <w:r>
        <w:t>£101 to £500: two trustee approvals</w:t>
      </w:r>
    </w:p>
    <w:p>
      <w:pPr>
        <w:pStyle w:val="ListBullet"/>
      </w:pPr>
      <w:r>
        <w:t>Over £500: trustee group approval recorded in meeting minutes</w:t>
      </w:r>
    </w:p>
    <w:p>
      <w:pPr>
        <w:pStyle w:val="ListBullet"/>
      </w:pPr>
      <w:r>
        <w:t>Any non-routine or sensitive spend: trustee group review regardless of value</w:t>
      </w:r>
    </w:p>
    <w:p>
      <w:r>
        <w:t>Emergency welfare spend may proceed rapidly where cat welfare is at risk, but must be retrospectively documented and reviewed.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7. Expenses and Reimbursements</w:t>
      </w:r>
    </w:p>
    <w:p>
      <w:pPr>
        <w:pStyle w:val="ListBullet"/>
      </w:pPr>
      <w:r>
        <w:t>Reasonable out-of-pocket expenses may be reimbursed where pre-approved or clearly within role duties.</w:t>
      </w:r>
    </w:p>
    <w:p>
      <w:pPr>
        <w:pStyle w:val="ListBullet"/>
      </w:pPr>
      <w:r>
        <w:t>Claims must include original receipts/invoices and date/purpose.</w:t>
      </w:r>
    </w:p>
    <w:p>
      <w:pPr>
        <w:pStyle w:val="ListBullet"/>
      </w:pPr>
      <w:r>
        <w:t>Claims should be submitted within 30 days where practical.</w:t>
      </w:r>
    </w:p>
    <w:p>
      <w:pPr>
        <w:pStyle w:val="ListBullet"/>
      </w:pPr>
      <w:r>
        <w:t>A trustee cannot approve their own expense claim.</w:t>
      </w:r>
    </w:p>
    <w:p>
      <w:pPr>
        <w:pStyle w:val="ListBullet"/>
      </w:pPr>
      <w:r>
        <w:t>Reimbursements must be recorded in the accounts ledger with evidence.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8. Income Handling (Donations, Fundraising, Adoption Donations)</w:t>
      </w:r>
    </w:p>
    <w:p>
      <w:pPr>
        <w:pStyle w:val="ListBullet"/>
      </w:pPr>
      <w:r>
        <w:t>All income must be recorded with date, source, amount, and payment method.</w:t>
      </w:r>
    </w:p>
    <w:p>
      <w:pPr>
        <w:pStyle w:val="ListBullet"/>
      </w:pPr>
      <w:r>
        <w:t>Cash income (if any) must be counted and recorded by two people where practical.</w:t>
      </w:r>
    </w:p>
    <w:p>
      <w:pPr>
        <w:pStyle w:val="ListBullet"/>
      </w:pPr>
      <w:r>
        <w:t>Fundraising event totals must be documented and handed to Treasurer/Accounts promptly.</w:t>
      </w:r>
    </w:p>
    <w:p>
      <w:pPr>
        <w:pStyle w:val="ListBullet"/>
      </w:pPr>
      <w:r>
        <w:t>Restricted funds must be recorded and used only for the intended purpose.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9. Lottery and Fundraising Compliance</w:t>
      </w:r>
    </w:p>
    <w:p>
      <w:pPr>
        <w:pStyle w:val="ListBullet"/>
      </w:pPr>
      <w:r>
        <w:t>Lottery activity must follow licence conditions and legal requirements.</w:t>
      </w:r>
    </w:p>
    <w:p>
      <w:pPr>
        <w:pStyle w:val="ListBullet"/>
      </w:pPr>
      <w:r>
        <w:t>Ticket sales, draw records, prizes, and proceeds allocation must be retained.</w:t>
      </w:r>
    </w:p>
    <w:p>
      <w:pPr>
        <w:pStyle w:val="ListBullet"/>
      </w:pPr>
      <w:r>
        <w:t>The named Lottery Licence Holder must be current and aligned with licence documentation.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10. Budgeting and Financial Reporting</w:t>
      </w:r>
    </w:p>
    <w:p>
      <w:pPr>
        <w:pStyle w:val="ListBullet"/>
      </w:pPr>
      <w:r>
        <w:t>Trustees should agree an annual budget (or annual forecast where proportionate).</w:t>
      </w:r>
    </w:p>
    <w:p>
      <w:pPr>
        <w:pStyle w:val="ListBullet"/>
      </w:pPr>
      <w:r>
        <w:t>Treasurer provides regular financial updates to trustee meetings.</w:t>
      </w:r>
    </w:p>
    <w:p>
      <w:pPr>
        <w:pStyle w:val="ListBullet"/>
      </w:pPr>
      <w:r>
        <w:t>Trustees review cash position, major commitments, and reserve sustainability.</w:t>
      </w:r>
    </w:p>
    <w:p>
      <w:pPr>
        <w:pStyle w:val="ListBullet"/>
      </w:pPr>
      <w:r>
        <w:t>Material variances and risks are documented with actions.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11. Record Keeping and Retention</w:t>
      </w:r>
    </w:p>
    <w:p>
      <w:pPr>
        <w:pStyle w:val="ListBullet"/>
      </w:pPr>
      <w:r>
        <w:t>Maintain ledger records for all transactions.</w:t>
      </w:r>
    </w:p>
    <w:p>
      <w:pPr>
        <w:pStyle w:val="ListBullet"/>
      </w:pPr>
      <w:r>
        <w:t>Retain invoices, receipts, approvals, bank statements, and reconciliation evidence.</w:t>
      </w:r>
    </w:p>
    <w:p>
      <w:pPr>
        <w:pStyle w:val="ListBullet"/>
      </w:pPr>
      <w:r>
        <w:t>Financial records must be securely stored in a charity-controlled location.</w:t>
      </w:r>
    </w:p>
    <w:p>
      <w:pPr>
        <w:pStyle w:val="ListBullet"/>
      </w:pPr>
      <w:r>
        <w:t>Retention follows legal/accounting requirements and Data Retention Policy.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12. Fraud, Theft, and Financial Irregularity</w:t>
      </w:r>
    </w:p>
    <w:p>
      <w:r>
        <w:t>Any suspected fraud, theft, or irregularity must be escalated immediately to the Chair and trustee group.</w:t>
      </w:r>
    </w:p>
    <w:p>
      <w:r>
        <w:t>Immediate actions:</w:t>
      </w:r>
    </w:p>
    <w:p>
      <w:pPr>
        <w:pStyle w:val="ListNumber"/>
      </w:pPr>
      <w:r>
        <w:t>Secure evidence and preserve records</w:t>
      </w:r>
    </w:p>
    <w:p>
      <w:pPr>
        <w:pStyle w:val="ListNumber"/>
      </w:pPr>
      <w:r>
        <w:t>Restrict relevant account/payment access if needed</w:t>
      </w:r>
    </w:p>
    <w:p>
      <w:pPr>
        <w:pStyle w:val="ListNumber"/>
      </w:pPr>
      <w:r>
        <w:t>Record incident in governance log</w:t>
      </w:r>
    </w:p>
    <w:p>
      <w:pPr>
        <w:pStyle w:val="ListNumber"/>
      </w:pPr>
      <w:r>
        <w:t>Take legal/regulatory advice where required</w:t>
      </w:r>
    </w:p>
    <w:p>
      <w:pPr>
        <w:pStyle w:val="ListNumber"/>
      </w:pPr>
      <w:r>
        <w:t>Report serious incidents to Charity Commission where applicable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13. Annual Accounts and Reporting</w:t>
      </w:r>
    </w:p>
    <w:p>
      <w:pPr>
        <w:pStyle w:val="ListBullet"/>
      </w:pPr>
      <w:r>
        <w:t>Prepare annual accounts in the appropriate format for charity size/type.</w:t>
      </w:r>
    </w:p>
    <w:p>
      <w:pPr>
        <w:pStyle w:val="ListBullet"/>
      </w:pPr>
      <w:r>
        <w:t>Prepare Trustees' Annual Report and required annual return submissions.</w:t>
      </w:r>
    </w:p>
    <w:p>
      <w:pPr>
        <w:pStyle w:val="ListBullet"/>
      </w:pPr>
      <w:r>
        <w:t>Ensure filings are approved by trustees and submitted on time.</w:t>
      </w:r>
    </w:p>
    <w:p>
      <w:pPr>
        <w:pStyle w:val="ListBullet"/>
      </w:pPr>
      <w:r>
        <w:t>Keep copies of submitted returns and supporting records.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14. Related Documents</w:t>
      </w:r>
    </w:p>
    <w:p>
      <w:pPr>
        <w:pStyle w:val="ListBullet"/>
      </w:pPr>
      <w:r>
        <w:t>Trustee Code of Conduct &amp; Governance Policy</w:t>
      </w:r>
    </w:p>
    <w:p>
      <w:pPr>
        <w:pStyle w:val="ListBullet"/>
      </w:pPr>
      <w:r>
        <w:t>Roles &amp; Responsibilities Register</w:t>
      </w:r>
    </w:p>
    <w:p>
      <w:pPr>
        <w:pStyle w:val="ListBullet"/>
      </w:pPr>
      <w:r>
        <w:t>Lottery &amp; Fundraising Compliance Policy</w:t>
      </w:r>
    </w:p>
    <w:p>
      <w:pPr>
        <w:pStyle w:val="ListBullet"/>
      </w:pPr>
      <w:r>
        <w:t>Data Retention Policy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15. Review</w:t>
      </w:r>
    </w:p>
    <w:p>
      <w:r>
        <w:t>This policy will be reviewed at least annually, or sooner if regulatory requirements or financial operations change.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