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1 Finalisation Checklist — Forgotten Felines Cat Rescue</w:t>
      </w:r>
    </w:p>
    <w:p>
      <w:r>
        <w:rPr>
          <w:b/>
        </w:rPr>
        <w:t>Charity No.:</w:t>
      </w:r>
      <w:r>
        <w:t xml:space="preserve"> 1181190 </w:t>
      </w:r>
      <w:r>
        <w:rPr>
          <w:b/>
        </w:rPr>
        <w:t>Compiled:</w:t>
      </w:r>
      <w:r>
        <w:t xml:space="preserve"> 2026-04-12 </w:t>
      </w:r>
      <w:r>
        <w:rPr>
          <w:b/>
        </w:rPr>
        <w:t>Last Updated:</w:t>
      </w:r>
      <w:r>
        <w:t xml:space="preserve"> 2026-04-14 (restructured after comprehensive ADCH compliance rewrite) </w:t>
      </w:r>
      <w:r>
        <w:rPr>
          <w:b/>
        </w:rPr>
        <w:t>Owner:</w:t>
      </w:r>
      <w:r>
        <w:t xml:space="preserve"> Sam Mathias </w:t>
      </w:r>
      <w:r>
        <w:rPr>
          <w:b/>
        </w:rPr>
        <w:t>Purpose:</w:t>
      </w:r>
      <w:r>
        <w:t xml:space="preserve"> Consolidated list of everything needed before the Phase 1 policy suite can be trustee-approved and published.</w:t>
      </w:r>
    </w:p>
    <w:p>
      <w:r>
        <w:t>Items are grouped by theme and sequenced so that blockers appear first. Each item is tagged with the compliance area(s) it serves.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Legend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Tag</w:t>
            </w:r>
          </w:p>
        </w:tc>
        <w:tc>
          <w:tcPr>
            <w:tcW w:type="dxa" w:w="4536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20"/>
              </w:rPr>
              <w:t>ADCH</w:t>
            </w:r>
          </w:p>
        </w:tc>
        <w:tc>
          <w:tcPr>
            <w:tcW w:type="dxa" w:w="4536"/>
          </w:tcPr>
          <w:p>
            <w:r/>
            <w:r>
              <w:t>ADCH Minimum Welfare &amp; Operational Standards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20"/>
              </w:rPr>
              <w:t>GDPR</w:t>
            </w:r>
          </w:p>
        </w:tc>
        <w:tc>
          <w:tcPr>
            <w:tcW w:type="dxa" w:w="4536"/>
          </w:tcPr>
          <w:p>
            <w:r/>
            <w:r>
              <w:t>UK GDPR / ICO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urier New" w:hAnsi="Courier New"/>
                <w:sz w:val="20"/>
              </w:rPr>
              <w:t>CC</w:t>
            </w:r>
          </w:p>
        </w:tc>
        <w:tc>
          <w:tcPr>
            <w:tcW w:type="dxa" w:w="4536"/>
          </w:tcPr>
          <w:p>
            <w:r/>
            <w:r>
              <w:t>Charity Commission (CC3 / governance duties)</w:t>
            </w:r>
          </w:p>
        </w:tc>
      </w:tr>
    </w:tbl>
    <w:p>
      <w:r>
        <w:rPr>
          <w:i/>
        </w:rPr>
        <w:t>________________________________________</w:t>
      </w:r>
    </w:p>
    <w:p>
      <w:pPr>
        <w:pStyle w:val="Heading2"/>
      </w:pPr>
      <w:r>
        <w:t>Block A — Role Assignments (Must be resolved first)</w:t>
      </w:r>
    </w:p>
    <w:p>
      <w:r>
        <w:t>These are hard blockers. Policies with unresolved escalation paths cannot be published.</w:t>
      </w:r>
    </w:p>
    <w:p>
      <w:pPr>
        <w:pStyle w:val="ListBullet"/>
      </w:pPr>
      <w:r>
        <w:t xml:space="preserve">[ ] </w:t>
      </w:r>
      <w:r>
        <w:rPr>
          <w:b/>
        </w:rPr>
        <w:t>Assign Lottery Licence Holder</w:t>
      </w:r>
      <w:r>
        <w:t xml:space="preserve"> — must match the named individual on the active Gambling Act licence. Confirm with Bev who holds this. </w:t>
      </w:r>
      <w:r>
        <w:rPr>
          <w:rFonts w:ascii="Courier New" w:hAnsi="Courier New"/>
          <w:sz w:val="20"/>
        </w:rPr>
        <w:t>ADCH</w:t>
      </w:r>
      <w:r>
        <w:t xml:space="preserve"> </w:t>
      </w:r>
      <w:r>
        <w:rPr>
          <w:rFonts w:ascii="Courier New" w:hAnsi="Courier New"/>
          <w:sz w:val="20"/>
        </w:rPr>
        <w:t>CC</w:t>
      </w:r>
    </w:p>
    <w:p>
      <w:pPr>
        <w:pStyle w:val="ListBullet"/>
      </w:pPr>
      <w:r>
        <w:t xml:space="preserve">[ ] </w:t>
      </w:r>
      <w:r>
        <w:rPr>
          <w:b/>
        </w:rPr>
        <w:t>Assign Cat Intake Lead</w:t>
      </w:r>
      <w:r>
        <w:t xml:space="preserve"> — needed for ADCH Standards 1–4 intake procedure and referenced in Cat Relinquishment Policy § 5.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</w:t>
      </w:r>
      <w:r>
        <w:rPr>
          <w:b/>
        </w:rPr>
        <w:t>Assign Behavioural Support Contact</w:t>
      </w:r>
      <w:r>
        <w:t xml:space="preserve"> — internal or external behaviourist; name, contact details, and the scope of consultation (ADCH Standard 55, Fostering Policy § 3, Fosterer Training Programme Topic 3).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Assign Isolation Coordinator</w:t>
      </w:r>
      <w:r>
        <w:t xml:space="preserve"> — assigned to Becca James (Vet Liaison) in the Roles and Responsibilities Register v0.9. </w:t>
      </w:r>
      <w:r>
        <w:rPr>
          <w:rFonts w:ascii="Courier New" w:hAnsi="Courier New"/>
          <w:sz w:val="20"/>
        </w:rPr>
        <w:t>ADCH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Block B — Missing Policies and Supporting Documents</w:t>
      </w:r>
    </w:p>
    <w:p>
      <w:r>
        <w:t>Documents that are required and did not exist before the 2026-04-14 compliance sweep. All new animal-care documents have been drafted — they still need trustee sign-off in Block C.</w:t>
      </w:r>
    </w:p>
    <w:p>
      <w:pPr>
        <w:pStyle w:val="ListBullet"/>
      </w:pPr>
      <w:r>
        <w:t xml:space="preserve">[x] </w:t>
      </w:r>
      <w:r>
        <w:rPr>
          <w:b/>
        </w:rPr>
        <w:t>Fostering Policy v2.0</w:t>
      </w:r>
      <w:r>
        <w:t xml:space="preserve"> — closes Standards 47, 48, 59, 60, 62.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Cat Intake and Medical Care Policy v2.0</w:t>
      </w:r>
      <w:r>
        <w:t xml:space="preserve"> — closes Standards 1–4, 51, 76 intake procedure.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Cat Transportation Policy v2.0</w:t>
      </w:r>
      <w:r>
        <w:t xml:space="preserve"> — closes Standard 54 (group transport, view protection, long journeys).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Adoption Policy v2.0</w:t>
      </w:r>
      <w:r>
        <w:t xml:space="preserve"> — closes Standards 71–75 (proof of address, care advice pack, supervised meetings, return welcome).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Cat Isolation on Arrival Policy v2.0</w:t>
      </w:r>
      <w:r>
        <w:t xml:space="preserve"> — 72-hour vet window, Standard 12 documented procedure statement, Standard 13 isolation practice reference, Standards 49/50 feral handling.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Cat Fosterer Cleaning Policy v2.0</w:t>
      </w:r>
      <w:r>
        <w:t xml:space="preserve"> — welfare-balance clause, chemical secure storage, change-of-occupancy dry-time.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Cat Rescue Euthanasia Policy v2.0</w:t>
      </w:r>
      <w:r>
        <w:t xml:space="preserve"> — Standard 67 full examination, feral exception, fosterer consultation, Standard 69 IV preference.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Cat Relinquishment Policy v2.0</w:t>
      </w:r>
      <w:r>
        <w:t xml:space="preserve"> — Standards 49–50 feral handling procedure.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Death of a Cat Policy v2.0</w:t>
      </w:r>
      <w:r>
        <w:t xml:space="preserve"> — post-mortem decision chain, cremation detail, record update chain.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Escape of a Cat Policy v2.0</w:t>
      </w:r>
      <w:r>
        <w:t xml:space="preserve"> — emergency authority matrix, recording template, review process.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Social Media Policy v2.0</w:t>
      </w:r>
      <w:r>
        <w:t xml:space="preserve"> — Standard 79 cat welfare section, 2020 review date refreshed.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Forgotten Felines Emergency Plan</w:t>
      </w:r>
      <w:r>
        <w:t xml:space="preserve"> — Standards 46 and 78 emergency procedure covering fire, flood, power loss, illness, escape, death, human emergency.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Foster Home Assessment Checklist</w:t>
      </w:r>
      <w:r>
        <w:t xml:space="preserve"> — Standard 60 assessment artefact.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Foster Home Register</w:t>
      </w:r>
      <w:r>
        <w:t xml:space="preserve"> — Standard 60 log of approved homes.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Named Veterinary Practices Register</w:t>
      </w:r>
      <w:r>
        <w:t xml:space="preserve"> — Standards 13, 51 nominated practices and isolation provider.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Per-Cat Record Specification</w:t>
      </w:r>
      <w:r>
        <w:t xml:space="preserve"> — Standard 76 schema for the Current Cats system.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Fosterer Training Programme</w:t>
      </w:r>
      <w:r>
        <w:t xml:space="preserve"> — Standard 48 written programme covering the 8 mandatory topics.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[x] </w:t>
      </w:r>
      <w:r>
        <w:rPr>
          <w:b/>
        </w:rPr>
        <w:t>Vet Arrangement Letter Template</w:t>
      </w:r>
      <w:r>
        <w:t xml:space="preserve"> — supports populating the Named Veterinary Practices Register. </w:t>
      </w:r>
      <w:r>
        <w:rPr>
          <w:rFonts w:ascii="Courier New" w:hAnsi="Courier New"/>
          <w:sz w:val="20"/>
        </w:rPr>
        <w:t>ADCH</w:t>
      </w:r>
    </w:p>
    <w:p>
      <w:pPr>
        <w:pStyle w:val="Heading3"/>
      </w:pPr>
      <w:r>
        <w:t>Still outstanding as new drafts</w:t>
      </w:r>
    </w:p>
    <w:p>
      <w:pPr>
        <w:pStyle w:val="ListBullet"/>
      </w:pPr>
      <w:r>
        <w:t xml:space="preserve">[ ] </w:t>
      </w:r>
      <w:r>
        <w:rPr>
          <w:b/>
        </w:rPr>
        <w:t>Safeguarding Policy</w:t>
      </w:r>
      <w:r>
        <w:t xml:space="preserve"> — must include statutory escalation steps (referral to police/social services). Required by Charity Commission and ADCH Standard 78. </w:t>
      </w:r>
      <w:r>
        <w:rPr>
          <w:rFonts w:ascii="Courier New" w:hAnsi="Courier New"/>
          <w:sz w:val="20"/>
        </w:rPr>
        <w:t>ADCH</w:t>
      </w:r>
      <w:r>
        <w:t xml:space="preserve"> </w:t>
      </w:r>
      <w:r>
        <w:rPr>
          <w:rFonts w:ascii="Courier New" w:hAnsi="Courier New"/>
          <w:sz w:val="20"/>
        </w:rPr>
        <w:t>CC</w:t>
      </w:r>
    </w:p>
    <w:p>
      <w:pPr>
        <w:pStyle w:val="ListBullet"/>
      </w:pPr>
      <w:r>
        <w:t xml:space="preserve">[ ] </w:t>
      </w:r>
      <w:r>
        <w:rPr>
          <w:b/>
        </w:rPr>
        <w:t>Incident Reporting &amp; Complaints Policy</w:t>
      </w:r>
      <w:r>
        <w:t xml:space="preserve"> — covers both internal complaints and Serious Incident Reporting to the Charity Commission. </w:t>
      </w:r>
      <w:r>
        <w:rPr>
          <w:rFonts w:ascii="Courier New" w:hAnsi="Courier New"/>
          <w:sz w:val="20"/>
        </w:rPr>
        <w:t>CC</w:t>
      </w:r>
    </w:p>
    <w:p>
      <w:pPr>
        <w:pStyle w:val="ListBullet"/>
      </w:pPr>
      <w:r>
        <w:t xml:space="preserve">[ ] </w:t>
      </w:r>
      <w:r>
        <w:rPr>
          <w:b/>
        </w:rPr>
        <w:t>Fostering Agreement template</w:t>
      </w:r>
      <w:r>
        <w:t xml:space="preserve"> — signed by every fosterer before first placement (referenced in the Fostering Policy § 2 and Foster Home Assessment Checklist). </w:t>
      </w:r>
      <w:r>
        <w:rPr>
          <w:rFonts w:ascii="Courier New" w:hAnsi="Courier New"/>
          <w:sz w:val="20"/>
        </w:rPr>
        <w:t>ADCH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Block C — Trustee Approval of Existing Drafts</w:t>
      </w:r>
    </w:p>
    <w:p>
      <w:r>
        <w:t>These documents exist as drafts but must go through trustee sign-off before publication. All v2.0 animal-care policies are new drafts and need approval.</w:t>
      </w:r>
    </w:p>
    <w:p>
      <w:pPr>
        <w:pStyle w:val="ListBullet"/>
      </w:pPr>
      <w:r>
        <w:t xml:space="preserve">[ ] Roles &amp; Responsibilities Register v0.9 — present for review and resolve remaining TBC entries </w:t>
      </w:r>
      <w:r>
        <w:rPr>
          <w:rFonts w:ascii="Courier New" w:hAnsi="Courier New"/>
          <w:sz w:val="20"/>
        </w:rPr>
        <w:t>ADCH</w:t>
      </w:r>
      <w:r>
        <w:t xml:space="preserve"> </w:t>
      </w:r>
      <w:r>
        <w:rPr>
          <w:rFonts w:ascii="Courier New" w:hAnsi="Courier New"/>
          <w:sz w:val="20"/>
        </w:rPr>
        <w:t>CC</w:t>
      </w:r>
    </w:p>
    <w:p>
      <w:pPr>
        <w:pStyle w:val="ListBullet"/>
      </w:pPr>
      <w:r>
        <w:t xml:space="preserve">[ ] Trustee Code of Conduct &amp; Governance Policy </w:t>
      </w:r>
      <w:r>
        <w:rPr>
          <w:rFonts w:ascii="Courier New" w:hAnsi="Courier New"/>
          <w:sz w:val="20"/>
        </w:rPr>
        <w:t>CC</w:t>
      </w:r>
    </w:p>
    <w:p>
      <w:pPr>
        <w:pStyle w:val="ListBullet"/>
      </w:pPr>
      <w:r>
        <w:t xml:space="preserve">[ ] Financial Policy </w:t>
      </w:r>
      <w:r>
        <w:rPr>
          <w:rFonts w:ascii="Courier New" w:hAnsi="Courier New"/>
          <w:sz w:val="20"/>
        </w:rPr>
        <w:t>CC</w:t>
      </w:r>
    </w:p>
    <w:p>
      <w:pPr>
        <w:pStyle w:val="ListBullet"/>
      </w:pPr>
      <w:r>
        <w:t xml:space="preserve">[ ] Bullying Policy </w:t>
      </w:r>
      <w:r>
        <w:rPr>
          <w:rFonts w:ascii="Courier New" w:hAnsi="Courier New"/>
          <w:sz w:val="20"/>
        </w:rPr>
        <w:t>CC</w:t>
      </w:r>
    </w:p>
    <w:p>
      <w:pPr>
        <w:pStyle w:val="ListBullet"/>
      </w:pPr>
      <w:r>
        <w:t xml:space="preserve">[ ] Harassment Policy </w:t>
      </w:r>
      <w:r>
        <w:rPr>
          <w:rFonts w:ascii="Courier New" w:hAnsi="Courier New"/>
          <w:sz w:val="20"/>
        </w:rPr>
        <w:t>CC</w:t>
      </w:r>
    </w:p>
    <w:p>
      <w:pPr>
        <w:pStyle w:val="ListBullet"/>
      </w:pPr>
      <w:r>
        <w:t xml:space="preserve">[ ] GDPR Trustee Policy </w:t>
      </w:r>
      <w:r>
        <w:rPr>
          <w:rFonts w:ascii="Courier New" w:hAnsi="Courier New"/>
          <w:sz w:val="20"/>
        </w:rPr>
        <w:t>GDPR</w:t>
      </w:r>
      <w:r>
        <w:t xml:space="preserve"> </w:t>
      </w:r>
      <w:r>
        <w:rPr>
          <w:rFonts w:ascii="Courier New" w:hAnsi="Courier New"/>
          <w:sz w:val="20"/>
        </w:rPr>
        <w:t>CC</w:t>
      </w:r>
    </w:p>
    <w:p>
      <w:pPr>
        <w:pStyle w:val="ListBullet"/>
      </w:pPr>
      <w:r>
        <w:t xml:space="preserve">[ ] GDPR Volunteer Policy </w:t>
      </w:r>
      <w:r>
        <w:rPr>
          <w:rFonts w:ascii="Courier New" w:hAnsi="Courier New"/>
          <w:sz w:val="20"/>
        </w:rPr>
        <w:t>GDPR</w:t>
      </w:r>
    </w:p>
    <w:p>
      <w:pPr>
        <w:pStyle w:val="ListBullet"/>
      </w:pPr>
      <w:r>
        <w:t xml:space="preserve">[ ] Data Retention Policy </w:t>
      </w:r>
      <w:r>
        <w:rPr>
          <w:rFonts w:ascii="Courier New" w:hAnsi="Courier New"/>
          <w:sz w:val="20"/>
        </w:rPr>
        <w:t>GDPR</w:t>
      </w:r>
    </w:p>
    <w:p>
      <w:pPr>
        <w:pStyle w:val="ListBullet"/>
      </w:pPr>
      <w:r>
        <w:t xml:space="preserve">[ ] Privacy Notice — approve text before publishing to website </w:t>
      </w:r>
      <w:r>
        <w:rPr>
          <w:rFonts w:ascii="Courier New" w:hAnsi="Courier New"/>
          <w:sz w:val="20"/>
        </w:rPr>
        <w:t>GDPR</w:t>
      </w:r>
    </w:p>
    <w:p>
      <w:pPr>
        <w:pStyle w:val="ListBullet"/>
      </w:pPr>
      <w:r>
        <w:t xml:space="preserve">[ ] Record of Processing Activities (ROPA) </w:t>
      </w:r>
      <w:r>
        <w:rPr>
          <w:rFonts w:ascii="Courier New" w:hAnsi="Courier New"/>
          <w:sz w:val="20"/>
        </w:rPr>
        <w:t>GDPR</w:t>
      </w:r>
    </w:p>
    <w:p>
      <w:pPr>
        <w:pStyle w:val="ListBullet"/>
      </w:pPr>
      <w:r>
        <w:t xml:space="preserve">[ ] Data Breach Response Procedure </w:t>
      </w:r>
      <w:r>
        <w:rPr>
          <w:rFonts w:ascii="Courier New" w:hAnsi="Courier New"/>
          <w:sz w:val="20"/>
        </w:rPr>
        <w:t>GDPR</w:t>
      </w:r>
    </w:p>
    <w:p>
      <w:pPr>
        <w:pStyle w:val="ListBullet"/>
      </w:pPr>
      <w:r>
        <w:t xml:space="preserve">[ ] All v2.0 ADCH animal-care policies (intake, isolation, fostering, adoption, relinquishment, cleaning, transportation, escape, death, euthanasia)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Forgotten Felines Emergency Plan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Foster Home Assessment Checklist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Foster Home Register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Named Veterinary Practices Register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Per-Cat Record Specification </w:t>
      </w:r>
      <w:r>
        <w:rPr>
          <w:rFonts w:ascii="Courier New" w:hAnsi="Courier New"/>
          <w:sz w:val="20"/>
        </w:rPr>
        <w:t>ADCH</w:t>
      </w:r>
      <w:r>
        <w:t xml:space="preserve"> </w:t>
      </w:r>
      <w:r>
        <w:rPr>
          <w:rFonts w:ascii="Courier New" w:hAnsi="Courier New"/>
          <w:sz w:val="20"/>
        </w:rPr>
        <w:t>GDPR</w:t>
      </w:r>
    </w:p>
    <w:p>
      <w:pPr>
        <w:pStyle w:val="ListBullet"/>
      </w:pPr>
      <w:r>
        <w:t xml:space="preserve">[ ] Fosterer Training Programme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Social Media Policy v2.0 </w:t>
      </w:r>
      <w:r>
        <w:rPr>
          <w:rFonts w:ascii="Courier New" w:hAnsi="Courier New"/>
          <w:sz w:val="20"/>
        </w:rPr>
        <w:t>ADCH</w:t>
      </w:r>
      <w:r>
        <w:t xml:space="preserve"> </w:t>
      </w:r>
      <w:r>
        <w:rPr>
          <w:rFonts w:ascii="Courier New" w:hAnsi="Courier New"/>
          <w:sz w:val="20"/>
        </w:rPr>
        <w:t>GDPR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Block D — Publish and Distribute</w:t>
      </w:r>
    </w:p>
    <w:p>
      <w:r>
        <w:t>Actions once trustee approval is complete.</w:t>
      </w:r>
    </w:p>
    <w:p>
      <w:pPr>
        <w:pStyle w:val="ListBullet"/>
      </w:pPr>
      <w:r>
        <w:t xml:space="preserve">[ ] </w:t>
      </w:r>
      <w:r>
        <w:rPr>
          <w:b/>
        </w:rPr>
        <w:t>Publish Privacy Notice on the website</w:t>
      </w:r>
      <w:r>
        <w:t xml:space="preserve"> — must be live before any public data collection continues. </w:t>
      </w:r>
      <w:r>
        <w:rPr>
          <w:rFonts w:ascii="Courier New" w:hAnsi="Courier New"/>
          <w:sz w:val="20"/>
        </w:rPr>
        <w:t>GDPR</w:t>
      </w:r>
    </w:p>
    <w:p>
      <w:pPr>
        <w:pStyle w:val="ListBullet"/>
      </w:pPr>
      <w:r>
        <w:t xml:space="preserve">[ ] </w:t>
      </w:r>
      <w:r>
        <w:rPr>
          <w:b/>
        </w:rPr>
        <w:t>Circulate Roles &amp; Responsibilities Register</w:t>
      </w:r>
      <w:r>
        <w:t xml:space="preserve"> to all trustees and foster coordinators. </w:t>
      </w:r>
      <w:r>
        <w:rPr>
          <w:rFonts w:ascii="Courier New" w:hAnsi="Courier New"/>
          <w:sz w:val="20"/>
        </w:rPr>
        <w:t>ADCH</w:t>
      </w:r>
      <w:r>
        <w:t xml:space="preserve"> </w:t>
      </w:r>
      <w:r>
        <w:rPr>
          <w:rFonts w:ascii="Courier New" w:hAnsi="Courier New"/>
          <w:sz w:val="20"/>
        </w:rPr>
        <w:t>CC</w:t>
      </w:r>
    </w:p>
    <w:p>
      <w:pPr>
        <w:pStyle w:val="ListBullet"/>
      </w:pPr>
      <w:r>
        <w:t xml:space="preserve">[ ] </w:t>
      </w:r>
      <w:r>
        <w:rPr>
          <w:b/>
        </w:rPr>
        <w:t>Circulate Emergency Plan and Emergency Quick Reference Card</w:t>
      </w:r>
      <w:r>
        <w:t xml:space="preserve"> to every active fosterer.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</w:t>
      </w:r>
      <w:r>
        <w:rPr>
          <w:b/>
        </w:rPr>
        <w:t>Issue published `.docx` copies</w:t>
      </w:r>
      <w:r>
        <w:t xml:space="preserve"> of all approved policies. </w:t>
      </w:r>
      <w:r>
        <w:rPr>
          <w:rFonts w:ascii="Courier New" w:hAnsi="Courier New"/>
          <w:sz w:val="20"/>
        </w:rPr>
        <w:t>ADCH</w:t>
      </w:r>
      <w:r>
        <w:t xml:space="preserve"> </w:t>
      </w:r>
      <w:r>
        <w:rPr>
          <w:rFonts w:ascii="Courier New" w:hAnsi="Courier New"/>
          <w:sz w:val="20"/>
        </w:rPr>
        <w:t>CC</w:t>
      </w:r>
      <w:r>
        <w:t xml:space="preserve"> </w:t>
      </w:r>
      <w:r>
        <w:rPr>
          <w:rFonts w:ascii="Courier New" w:hAnsi="Courier New"/>
          <w:sz w:val="20"/>
        </w:rPr>
        <w:t>GDPR</w:t>
      </w:r>
    </w:p>
    <w:p>
      <w:pPr>
        <w:pStyle w:val="ListBullet"/>
      </w:pPr>
      <w:r>
        <w:t xml:space="preserve">[ ] </w:t>
      </w:r>
      <w:r>
        <w:rPr>
          <w:b/>
        </w:rPr>
        <w:t>Obtain signed acknowledgements</w:t>
      </w:r>
      <w:r>
        <w:t xml:space="preserve"> from all trustees (Trustee Code of Conduct, GDPR Trustee Policy). </w:t>
      </w:r>
      <w:r>
        <w:rPr>
          <w:rFonts w:ascii="Courier New" w:hAnsi="Courier New"/>
          <w:sz w:val="20"/>
        </w:rPr>
        <w:t>CC</w:t>
      </w:r>
      <w:r>
        <w:t xml:space="preserve"> </w:t>
      </w:r>
      <w:r>
        <w:rPr>
          <w:rFonts w:ascii="Courier New" w:hAnsi="Courier New"/>
          <w:sz w:val="20"/>
        </w:rPr>
        <w:t>GDPR</w:t>
      </w:r>
    </w:p>
    <w:p>
      <w:pPr>
        <w:pStyle w:val="ListBullet"/>
      </w:pPr>
      <w:r>
        <w:t xml:space="preserve">[ ] </w:t>
      </w:r>
      <w:r>
        <w:rPr>
          <w:b/>
        </w:rPr>
        <w:t>Obtain signed acknowledgements</w:t>
      </w:r>
      <w:r>
        <w:t xml:space="preserve"> from all active fosterers (Fostering Policy, GDPR Volunteer Policy, Volunteer Policy, Emergency Plan). </w:t>
      </w:r>
      <w:r>
        <w:rPr>
          <w:rFonts w:ascii="Courier New" w:hAnsi="Courier New"/>
          <w:sz w:val="20"/>
        </w:rPr>
        <w:t>ADCH</w:t>
      </w:r>
      <w:r>
        <w:t xml:space="preserve"> </w:t>
      </w:r>
      <w:r>
        <w:rPr>
          <w:rFonts w:ascii="Courier New" w:hAnsi="Courier New"/>
          <w:sz w:val="20"/>
        </w:rPr>
        <w:t>GDPR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Block E — Populate Operational Systems</w:t>
      </w:r>
    </w:p>
    <w:p>
      <w:r>
        <w:t>Records and live systems needed to evidence compliance — the structures exist, the data must be filled in.</w:t>
      </w:r>
    </w:p>
    <w:p>
      <w:pPr>
        <w:pStyle w:val="ListBullet"/>
      </w:pPr>
      <w:r>
        <w:t xml:space="preserve">[ ] </w:t>
      </w:r>
      <w:r>
        <w:rPr>
          <w:b/>
        </w:rPr>
        <w:t>Populate the Named Veterinary Practices Register</w:t>
      </w:r>
      <w:r>
        <w:t xml:space="preserve"> — send the Vet Arrangement Letter Template to each practice; record phone, contact, and arrangement letter status. </w:t>
      </w:r>
      <w:r>
        <w:rPr>
          <w:rFonts w:ascii="Courier New" w:hAnsi="Courier New"/>
          <w:sz w:val="20"/>
        </w:rPr>
        <w:t>ADCH</w:t>
      </w:r>
      <w:r>
        <w:t xml:space="preserve"> (Std 51)</w:t>
      </w:r>
    </w:p>
    <w:p>
      <w:pPr>
        <w:pStyle w:val="ListBullet"/>
      </w:pPr>
      <w:r>
        <w:t xml:space="preserve">[ ] </w:t>
      </w:r>
      <w:r>
        <w:rPr>
          <w:b/>
        </w:rPr>
        <w:t>Designate a Standard 13 isolation practice</w:t>
      </w:r>
      <w:r>
        <w:t xml:space="preserve"> — one nominated practice confirmed in writing as the isolation provider. </w:t>
      </w:r>
      <w:r>
        <w:rPr>
          <w:rFonts w:ascii="Courier New" w:hAnsi="Courier New"/>
          <w:sz w:val="20"/>
        </w:rPr>
        <w:t>ADCH</w:t>
      </w:r>
      <w:r>
        <w:t xml:space="preserve"> (Std 13)</w:t>
      </w:r>
    </w:p>
    <w:p>
      <w:pPr>
        <w:pStyle w:val="ListBullet"/>
      </w:pPr>
      <w:r>
        <w:t xml:space="preserve">[ ] </w:t>
      </w:r>
      <w:r>
        <w:rPr>
          <w:b/>
        </w:rPr>
        <w:t>Build the Current Cats per-cat record system</w:t>
      </w:r>
      <w:r>
        <w:t xml:space="preserve"> — Google Sheet or equivalent, matching the Per-Cat Record Specification schema. Populate with all current cats. </w:t>
      </w:r>
      <w:r>
        <w:rPr>
          <w:rFonts w:ascii="Courier New" w:hAnsi="Courier New"/>
          <w:sz w:val="20"/>
        </w:rPr>
        <w:t>ADCH</w:t>
      </w:r>
      <w:r>
        <w:t xml:space="preserve"> (Std 76)</w:t>
      </w:r>
    </w:p>
    <w:p>
      <w:pPr>
        <w:pStyle w:val="ListBullet"/>
      </w:pPr>
      <w:r>
        <w:t xml:space="preserve">[ ] </w:t>
      </w:r>
      <w:r>
        <w:rPr>
          <w:b/>
        </w:rPr>
        <w:t>Build the Foster Home Register live entries</w:t>
      </w:r>
      <w:r>
        <w:t xml:space="preserve"> — one row per currently active foster home, fully populated against the schema. </w:t>
      </w:r>
      <w:r>
        <w:rPr>
          <w:rFonts w:ascii="Courier New" w:hAnsi="Courier New"/>
          <w:sz w:val="20"/>
        </w:rPr>
        <w:t>ADCH</w:t>
      </w:r>
      <w:r>
        <w:t xml:space="preserve"> (Std 60)</w:t>
      </w:r>
    </w:p>
    <w:p>
      <w:pPr>
        <w:pStyle w:val="ListBullet"/>
      </w:pPr>
      <w:r>
        <w:t xml:space="preserve">[ ] </w:t>
      </w:r>
      <w:r>
        <w:rPr>
          <w:b/>
        </w:rPr>
        <w:t>Run the Foster Home Assessment Checklist</w:t>
      </w:r>
      <w:r>
        <w:t xml:space="preserve"> for every active foster home — capture Annex B measurements, approve, file checklist, update Foster Home Register. </w:t>
      </w:r>
      <w:r>
        <w:rPr>
          <w:rFonts w:ascii="Courier New" w:hAnsi="Courier New"/>
          <w:sz w:val="20"/>
        </w:rPr>
        <w:t>ADCH</w:t>
      </w:r>
      <w:r>
        <w:t xml:space="preserve"> (Std 60)</w:t>
      </w:r>
    </w:p>
    <w:p>
      <w:pPr>
        <w:pStyle w:val="ListBullet"/>
      </w:pPr>
      <w:r>
        <w:t xml:space="preserve">[ ] </w:t>
      </w:r>
      <w:r>
        <w:rPr>
          <w:b/>
        </w:rPr>
        <w:t>Fosterer Training Record</w:t>
      </w:r>
      <w:r>
        <w:t xml:space="preserve"> — open one record per active fosterer; mark training status for each of the 8 mandatory topics. Schedule induction or refresher for any fosterer not yet signed off on all topics. </w:t>
      </w:r>
      <w:r>
        <w:rPr>
          <w:rFonts w:ascii="Courier New" w:hAnsi="Courier New"/>
          <w:sz w:val="20"/>
        </w:rPr>
        <w:t>ADCH</w:t>
      </w:r>
      <w:r>
        <w:t xml:space="preserve"> (Std 48)</w:t>
      </w:r>
    </w:p>
    <w:p>
      <w:pPr>
        <w:pStyle w:val="ListBullet"/>
      </w:pPr>
      <w:r>
        <w:t xml:space="preserve">[ ] </w:t>
      </w:r>
      <w:r>
        <w:rPr>
          <w:b/>
        </w:rPr>
        <w:t>Conflicts of interest register</w:t>
      </w:r>
      <w:r>
        <w:t xml:space="preserve"> — maintained by the Chair; annual declaration required. </w:t>
      </w:r>
      <w:r>
        <w:rPr>
          <w:rFonts w:ascii="Courier New" w:hAnsi="Courier New"/>
          <w:sz w:val="20"/>
        </w:rPr>
        <w:t>CC</w:t>
      </w:r>
    </w:p>
    <w:p>
      <w:pPr>
        <w:pStyle w:val="ListBullet"/>
      </w:pPr>
      <w:r>
        <w:t xml:space="preserve">[ ] </w:t>
      </w:r>
      <w:r>
        <w:rPr>
          <w:b/>
        </w:rPr>
        <w:t>Confirm ICO fee registration status</w:t>
      </w:r>
      <w:r>
        <w:t xml:space="preserve"> — check whether an annual data protection fee is required and up to date. </w:t>
      </w:r>
      <w:r>
        <w:rPr>
          <w:rFonts w:ascii="Courier New" w:hAnsi="Courier New"/>
          <w:sz w:val="20"/>
        </w:rPr>
        <w:t>GDPR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Block F — Deliver Fosterer Training</w:t>
      </w:r>
    </w:p>
    <w:p>
      <w:r>
        <w:t>Required by ADCH Standard 48.</w:t>
      </w:r>
    </w:p>
    <w:p>
      <w:pPr>
        <w:pStyle w:val="ListBullet"/>
      </w:pPr>
      <w:r>
        <w:t xml:space="preserve">[x] Write the Fosterer Training Programme covering all 8 mandatory topics.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</w:t>
      </w:r>
      <w:r>
        <w:rPr>
          <w:b/>
        </w:rPr>
        <w:t>Deliver induction training</w:t>
      </w:r>
      <w:r>
        <w:t xml:space="preserve"> to every active fosterer using the programme.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</w:t>
      </w:r>
      <w:r>
        <w:rPr>
          <w:b/>
        </w:rPr>
        <w:t>Record sign-off</w:t>
      </w:r>
      <w:r>
        <w:t xml:space="preserve"> for each topic per fosterer in the Fosterer Training Record.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</w:t>
      </w:r>
      <w:r>
        <w:rPr>
          <w:b/>
        </w:rPr>
        <w:t>Schedule annual refresher</w:t>
      </w:r>
      <w:r>
        <w:t xml:space="preserve"> for each fosterer; set review reminders.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</w:t>
      </w:r>
      <w:r>
        <w:rPr>
          <w:b/>
        </w:rPr>
        <w:t>Annual programme review</w:t>
      </w:r>
      <w:r>
        <w:t xml:space="preserve"> — Fostering Coordinator + Trustee sign-off. </w:t>
      </w:r>
      <w:r>
        <w:rPr>
          <w:rFonts w:ascii="Courier New" w:hAnsi="Courier New"/>
          <w:sz w:val="20"/>
        </w:rPr>
        <w:t>ADCH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Block G — ADCH Application</w:t>
      </w:r>
    </w:p>
    <w:p>
      <w:r>
        <w:t>Once Blocks A–F are substantially complete.</w:t>
      </w:r>
    </w:p>
    <w:p>
      <w:pPr>
        <w:pStyle w:val="ListBullet"/>
      </w:pPr>
      <w:r>
        <w:t xml:space="preserve">[ ] </w:t>
      </w:r>
      <w:r>
        <w:rPr>
          <w:b/>
        </w:rPr>
        <w:t>Complete the ADCH self-assessment</w:t>
      </w:r>
      <w:r>
        <w:t xml:space="preserve"> using the comprehensive standards map in the </w:t>
      </w:r>
      <w:r>
        <w:rPr>
          <w:color w:val="1F4E79"/>
          <w:u w:val="single"/>
        </w:rPr>
        <w:t>ADCH Compliance Analysis</w:t>
      </w:r>
      <w:r>
        <w:t xml:space="preserve"> (SOP1, Step 3). </w:t>
      </w:r>
      <w:r>
        <w:rPr>
          <w:rFonts w:ascii="Courier New" w:hAnsi="Courier New"/>
          <w:sz w:val="20"/>
        </w:rPr>
        <w:t>ADCH</w:t>
      </w:r>
    </w:p>
    <w:p>
      <w:pPr>
        <w:pStyle w:val="ListBullet"/>
      </w:pPr>
      <w:r>
        <w:t xml:space="preserve">[ ] </w:t>
      </w:r>
      <w:r>
        <w:rPr>
          <w:b/>
        </w:rPr>
        <w:t>Gather application materials:</w:t>
      </w:r>
    </w:p>
    <w:p>
      <w:r>
        <w:t xml:space="preserve">  - 2 references (existing ADCH members or professionals — your vet qualifies)   - Organisational constitution   - 2 years of financial accounts or bank statements</w:t>
      </w:r>
    </w:p>
    <w:p>
      <w:pPr>
        <w:pStyle w:val="ListBullet"/>
      </w:pPr>
      <w:r>
        <w:t xml:space="preserve">[ ] </w:t>
      </w:r>
      <w:r>
        <w:rPr>
          <w:b/>
        </w:rPr>
        <w:t>Submit application</w:t>
      </w:r>
      <w:r>
        <w:t xml:space="preserve"> — email [email protected] or use the online form. </w:t>
      </w:r>
      <w:r>
        <w:rPr>
          <w:rFonts w:ascii="Courier New" w:hAnsi="Courier New"/>
          <w:sz w:val="20"/>
        </w:rPr>
        <w:t>ADCH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Summary: Critical Path</w:t>
      </w:r>
    </w:p>
    <w:p>
      <w:r>
        <w:t>The minimum viable path to trustee approval and publication is:</w:t>
      </w:r>
    </w:p>
    <w:p>
      <w:r>
        <w:rPr>
          <w:rFonts w:ascii="Courier New" w:hAnsi="Courier New"/>
          <w:sz w:val="18"/>
        </w:rPr>
        <w:t>Block A (assign remaining roles)</w:t>
        <w:br/>
        <w:t xml:space="preserve">  → Block B (draft missing policies: Safeguarding, Incident Reporting, Fostering Agreement)</w:t>
        <w:br/>
        <w:t xml:space="preserve">    → Block C (trustee approval session — full animal-care v2.0 suite + registers + Emergency Plan)</w:t>
        <w:br/>
        <w:t xml:space="preserve">      → Block D (publish + distribute)</w:t>
        <w:br/>
        <w:t xml:space="preserve">        → Block E + F (populate systems, deliver training — can run in parallel)</w:t>
        <w:br/>
        <w:t xml:space="preserve">          → Block G (ADCH application)</w:t>
      </w:r>
    </w:p>
    <w:p>
      <w:r>
        <w:t>Block E can start in parallel with Block C, since populating registers does not require final trustee sign-off of the underlying policy (only the policy structure).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Detailed Checklists by Area</w:t>
      </w:r>
    </w:p>
    <w:p>
      <w:r>
        <w:t>For the full itemised breakdown by compliance framework, see:</w:t>
      </w:r>
    </w:p>
    <w:p>
      <w:pPr>
        <w:pStyle w:val="ListBullet"/>
      </w:pPr>
      <w:r>
        <w:rPr>
          <w:color w:val="1F4E79"/>
          <w:u w:val="single"/>
        </w:rPr>
        <w:t>ADCH Compliance Analysis — full standards map</w:t>
      </w:r>
    </w:p>
    <w:p>
      <w:pPr>
        <w:pStyle w:val="ListBullet"/>
      </w:pPr>
      <w:r>
        <w:rPr>
          <w:color w:val="1F4E79"/>
          <w:u w:val="single"/>
        </w:rPr>
        <w:t>ADCH Policy Suite Audit 2026-04-14</w:t>
      </w:r>
    </w:p>
    <w:p>
      <w:pPr>
        <w:pStyle w:val="ListBullet"/>
      </w:pPr>
      <w:r>
        <w:rPr>
          <w:color w:val="1F4E79"/>
          <w:u w:val="single"/>
        </w:rPr>
        <w:t>ADCH Compliance Checklist</w:t>
      </w:r>
    </w:p>
    <w:p>
      <w:pPr>
        <w:pStyle w:val="ListBullet"/>
      </w:pPr>
      <w:r>
        <w:rPr>
          <w:color w:val="1F4E79"/>
          <w:u w:val="single"/>
        </w:rPr>
        <w:t>GDPR Compliance Checklist</w:t>
      </w:r>
    </w:p>
    <w:p>
      <w:pPr>
        <w:pStyle w:val="ListBullet"/>
      </w:pPr>
      <w:r>
        <w:rPr>
          <w:color w:val="1F4E79"/>
          <w:u w:val="single"/>
        </w:rPr>
        <w:t>Charity Commission Compliance Checklist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[Policy Title]  |  v[1.0]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