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Multidimensional Attribution of Coral Bleaching Mortality on the Great Barrier Reef</w:t>
      </w:r>
    </w:p>
    <w:p>
      <w:pPr>
        <w:pStyle w:val="Author"/>
      </w:pPr>
      <w:r>
        <w:t xml:space="preserve">Samuel Matthews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[Abstract Placeholder]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Climate change is increasing the frequency and intensity of marine heatwaves,</w:t>
      </w:r>
      <w:r>
        <w:t xml:space="preserve"> </w:t>
      </w:r>
      <w:r>
        <w:t xml:space="preserve">causing widespread coral bleaching and mortality across the Great Barrier Reef</w:t>
      </w:r>
      <w:r>
        <w:t xml:space="preserve"> </w:t>
      </w:r>
      <w:r>
        <w:t xml:space="preserve">(GBR)</w:t>
      </w:r>
      <w:r>
        <w:t xml:space="preserve"> </w:t>
      </w:r>
      <w:r>
        <w:t xml:space="preserve">(Eakin, Sweatman, and Brainard 2019)</w:t>
      </w:r>
      <w:r>
        <w:t xml:space="preserve">. As thermal stress shifts from acute events to chronic</w:t>
      </w:r>
      <w:r>
        <w:t xml:space="preserve"> </w:t>
      </w:r>
      <w:r>
        <w:t xml:space="preserve">disturbance, managers must transition from monitoring to targeted spatial</w:t>
      </w:r>
      <w:r>
        <w:t xml:space="preserve"> </w:t>
      </w:r>
      <w:r>
        <w:t xml:space="preserve">interventions</w:t>
      </w:r>
      <w:r>
        <w:t xml:space="preserve"> </w:t>
      </w:r>
      <w:r>
        <w:t xml:space="preserve">(Oppen et al. 2017)</w:t>
      </w:r>
      <w:r>
        <w:t xml:space="preserve">. Deploying resilience-based strategies—like</w:t>
      </w:r>
      <w:r>
        <w:t xml:space="preserve"> </w:t>
      </w:r>
      <w:r>
        <w:t xml:space="preserve">localized solar radiation management, assisted gene flow, or culling benthic</w:t>
      </w:r>
      <w:r>
        <w:t xml:space="preserve"> </w:t>
      </w:r>
      <w:r>
        <w:t xml:space="preserve">competitors—requires accurate attribution of coral mortality to specific thermal</w:t>
      </w:r>
      <w:r>
        <w:t xml:space="preserve"> </w:t>
      </w:r>
      <w:r>
        <w:t xml:space="preserve">thresholds</w:t>
      </w:r>
      <w:r>
        <w:t xml:space="preserve"> </w:t>
      </w:r>
      <w:r>
        <w:t xml:space="preserve">(Hughes et al. 2018; Oppen et al. 2017)</w:t>
      </w:r>
      <w:r>
        <w:t xml:space="preserve">. Treating the GBR uniformly masks the</w:t>
      </w:r>
      <w:r>
        <w:t xml:space="preserve"> </w:t>
      </w:r>
      <w:r>
        <w:t xml:space="preserve">spatial variation in bleaching and survival observed among neighboring reefs</w:t>
      </w:r>
      <w:r>
        <w:t xml:space="preserve"> </w:t>
      </w:r>
      <w:r>
        <w:t xml:space="preserve">(Wold et al. 2023)</w:t>
      </w:r>
      <w:r>
        <w:t xml:space="preserve">. Directing conservation resources at actionable scales requires</w:t>
      </w:r>
      <w:r>
        <w:t xml:space="preserve"> </w:t>
      </w:r>
      <w:r>
        <w:t xml:space="preserve">spatially explicit models that identify the environmental and biological factors</w:t>
      </w:r>
      <w:r>
        <w:t xml:space="preserve"> </w:t>
      </w:r>
      <w:r>
        <w:t xml:space="preserve">moderating survival during severe heatwaves.</w:t>
      </w:r>
    </w:p>
    <w:p>
      <w:pPr>
        <w:pStyle w:val="BodyText"/>
      </w:pPr>
      <w:r>
        <w:t xml:space="preserve">Current diagnostic tools rely on static or coarse-scale environmental proxies</w:t>
      </w:r>
      <w:r>
        <w:t xml:space="preserve"> </w:t>
      </w:r>
      <w:r>
        <w:t xml:space="preserve">that miss fine-scale physical and ecological mediators of thermal stress</w:t>
      </w:r>
      <w:r>
        <w:t xml:space="preserve"> </w:t>
      </w:r>
      <w:r>
        <w:t xml:space="preserve">(Safaie et al. 2018)</w:t>
      </w:r>
      <w:r>
        <w:t xml:space="preserve">. Many vulnerability assessments evaluate Degree Heating Weeks (DHW)</w:t>
      </w:r>
      <w:r>
        <w:t xml:space="preserve"> </w:t>
      </w:r>
      <w:r>
        <w:t xml:space="preserve">as an isolated, linear driver of mortality without adjusting for background coral</w:t>
      </w:r>
      <w:r>
        <w:t xml:space="preserve"> </w:t>
      </w:r>
      <w:r>
        <w:t xml:space="preserve">recovery</w:t>
      </w:r>
      <w:r>
        <w:t xml:space="preserve"> </w:t>
      </w:r>
      <w:r>
        <w:t xml:space="preserve">(MacNeil et al. 2019)</w:t>
      </w:r>
      <w:r>
        <w:t xml:space="preserve">. This omission conflates baseline demographic turnover</w:t>
      </w:r>
      <w:r>
        <w:t xml:space="preserve"> </w:t>
      </w:r>
      <w:r>
        <w:t xml:space="preserve">with bleaching-attributable loss, biasing mortality estimates. Most models also</w:t>
      </w:r>
      <w:r>
        <w:t xml:space="preserve"> </w:t>
      </w:r>
      <w:r>
        <w:t xml:space="preserve">omit localized optical and hydrodynamic modifiers—such as water clarity (Secchi</w:t>
      </w:r>
      <w:r>
        <w:t xml:space="preserve"> </w:t>
      </w:r>
      <w:r>
        <w:t xml:space="preserve">depth), cloud cover shading, and current flushing speeds—or shifts in community</w:t>
      </w:r>
      <w:r>
        <w:t xml:space="preserve"> </w:t>
      </w:r>
      <w:r>
        <w:t xml:space="preserve">composition, such as the proportion of sensitive</w:t>
      </w:r>
      <w:r>
        <w:t xml:space="preserve"> </w:t>
      </w:r>
      <w:r>
        <w:rPr>
          <w:i/>
          <w:iCs/>
        </w:rPr>
        <w:t xml:space="preserve">Acropora</w:t>
      </w:r>
      <w:r>
        <w:t xml:space="preserve"> </w:t>
      </w:r>
      <w:r>
        <w:t xml:space="preserve">taxa</w:t>
      </w:r>
      <w:r>
        <w:t xml:space="preserve"> </w:t>
      </w:r>
      <w:r>
        <w:t xml:space="preserve">(Cacciapaglia and Woesik 2016)</w:t>
      </w:r>
      <w:r>
        <w:t xml:space="preserve">. Deterministic forecasts trained only on historical heatwaves</w:t>
      </w:r>
      <w:r>
        <w:t xml:space="preserve"> </w:t>
      </w:r>
      <w:r>
        <w:t xml:space="preserve">often fail under novel thermal regimes. This inflexibility led to widespread</w:t>
      </w:r>
      <w:r>
        <w:t xml:space="preserve"> </w:t>
      </w:r>
      <w:r>
        <w:t xml:space="preserve">underprediction of mortality during the 2024 mass bleaching event, limiting the</w:t>
      </w:r>
      <w:r>
        <w:t xml:space="preserve"> </w:t>
      </w:r>
      <w:r>
        <w:t xml:space="preserve">effectiveness of adaptive management.</w:t>
      </w:r>
    </w:p>
    <w:p>
      <w:pPr>
        <w:pStyle w:val="BodyText"/>
      </w:pPr>
      <w:r>
        <w:t xml:space="preserve">We developed a growth-adjusted framework to quantify coral mortality across the</w:t>
      </w:r>
      <w:r>
        <w:t xml:space="preserve"> </w:t>
      </w:r>
      <w:r>
        <w:t xml:space="preserve">GBR. We combined multidecadal benthic photo-transects and manta tow data with</w:t>
      </w:r>
      <w:r>
        <w:t xml:space="preserve"> </w:t>
      </w:r>
      <w:r>
        <w:t xml:space="preserve">high-resolution environmental predictors, including winter temperature variability,</w:t>
      </w:r>
      <w:r>
        <w:t xml:space="preserve"> </w:t>
      </w:r>
      <w:r>
        <w:t xml:space="preserve">historical thermal exposure, and acute optical modifiers. To isolate bleaching</w:t>
      </w:r>
      <w:r>
        <w:t xml:space="preserve"> </w:t>
      </w:r>
      <w:r>
        <w:t xml:space="preserve">impacts, we adjusted baseline mortality estimates using reef-specific Gompertz</w:t>
      </w:r>
      <w:r>
        <w:t xml:space="preserve"> </w:t>
      </w:r>
      <w:r>
        <w:t xml:space="preserve">coral growth parameters to account for expected biological recovery between</w:t>
      </w:r>
      <w:r>
        <w:t xml:space="preserve"> </w:t>
      </w:r>
      <w:r>
        <w:t xml:space="preserve">surveys. We paired machine-learning algorithms (Random Forests and Boosted</w:t>
      </w:r>
      <w:r>
        <w:t xml:space="preserve"> </w:t>
      </w:r>
      <w:r>
        <w:t xml:space="preserve">Regression Trees) to capture non-linear feature interactions with Bayesian</w:t>
      </w:r>
      <w:r>
        <w:t xml:space="preserve"> </w:t>
      </w:r>
      <w:r>
        <w:t xml:space="preserve">hierarchical beta regression models to bound proportional mortality. The Bayesian</w:t>
      </w:r>
      <w:r>
        <w:t xml:space="preserve"> </w:t>
      </w:r>
      <w:r>
        <w:t xml:space="preserve">models propagate parameter uncertainty and partition spatial variance across reef</w:t>
      </w:r>
      <w:r>
        <w:t xml:space="preserve"> </w:t>
      </w:r>
      <w:r>
        <w:t xml:space="preserve">clusters. By explicitly modeling interactions between thermal stress and optical</w:t>
      </w:r>
      <w:r>
        <w:t xml:space="preserve"> </w:t>
      </w:r>
      <w:r>
        <w:t xml:space="preserve">mediators—specifically how localized Secchi depth and cloud fraction buffer</w:t>
      </w:r>
      <w:r>
        <w:t xml:space="preserve"> </w:t>
      </w:r>
      <w:r>
        <w:t xml:space="preserve">DHW—we link mortality attribution to measurable physical contexts.</w:t>
      </w:r>
    </w:p>
    <w:p>
      <w:pPr>
        <w:pStyle w:val="BodyText"/>
      </w:pPr>
      <w:r>
        <w:t xml:space="preserve">We evaluated how physical context and community composition shape reef</w:t>
      </w:r>
      <w:r>
        <w:t xml:space="preserve"> </w:t>
      </w:r>
      <w:r>
        <w:t xml:space="preserve">susceptibility to thermal stress under different exposure scenarios. We outline</w:t>
      </w:r>
      <w:r>
        <w:t xml:space="preserve"> </w:t>
      </w:r>
      <w:r>
        <w:t xml:space="preserve">the growth-adjustment protocol, environmental feature engineering, and the</w:t>
      </w:r>
      <w:r>
        <w:t xml:space="preserve"> </w:t>
      </w:r>
      <w:r>
        <w:t xml:space="preserve">comparative validation of our statistical and machine-learning ensembles. Using</w:t>
      </w:r>
      <w:r>
        <w:t xml:space="preserve"> </w:t>
      </w:r>
      <w:r>
        <w:t xml:space="preserve">leave-one-event-out and spatially blocked cross-validation, we assessed model</w:t>
      </w:r>
      <w:r>
        <w:t xml:space="preserve"> </w:t>
      </w:r>
      <w:r>
        <w:t xml:space="preserve">stability across historical bleaching events (1998–2022) and stress-tested the</w:t>
      </w:r>
      <w:r>
        <w:t xml:space="preserve"> </w:t>
      </w:r>
      <w:r>
        <w:t xml:space="preserve">framework against the 2024 anomaly. Our analyses show that integrating water</w:t>
      </w:r>
      <w:r>
        <w:t xml:space="preserve"> </w:t>
      </w:r>
      <w:r>
        <w:t xml:space="preserve">clarity and localized shading metrics improves mapping of regional disturbance</w:t>
      </w:r>
      <w:r>
        <w:t xml:space="preserve"> </w:t>
      </w:r>
      <w:r>
        <w:t xml:space="preserve">trajectories and explains spatial variation in survival. Reefs in distinct optical</w:t>
      </w:r>
      <w:r>
        <w:t xml:space="preserve"> </w:t>
      </w:r>
      <w:r>
        <w:t xml:space="preserve">and hydrodynamic contexts showed moderated mortality responses, indicating that</w:t>
      </w:r>
      <w:r>
        <w:t xml:space="preserve"> </w:t>
      </w:r>
      <w:r>
        <w:t xml:space="preserve">historical thermal exposure and the physical environment interact to create</w:t>
      </w:r>
      <w:r>
        <w:t xml:space="preserve"> </w:t>
      </w:r>
      <w:r>
        <w:t xml:space="preserve">localized spatial buffers. This framework provides a probabilistically bounded,</w:t>
      </w:r>
      <w:r>
        <w:t xml:space="preserve"> </w:t>
      </w:r>
      <w:r>
        <w:t xml:space="preserve">spatially explicit tool for prioritizing resilient reef networks and designating</w:t>
      </w:r>
      <w:r>
        <w:t xml:space="preserve"> </w:t>
      </w:r>
      <w:r>
        <w:t xml:space="preserve">conservation zones under changing climate regimes.</w:t>
      </w:r>
    </w:p>
    <w:bookmarkEnd w:id="20"/>
    <w:bookmarkStart w:id="24" w:name="methods"/>
    <w:p>
      <w:pPr>
        <w:pStyle w:val="Heading1"/>
      </w:pPr>
      <w:r>
        <w:t xml:space="preserve">Methods</w:t>
      </w:r>
    </w:p>
    <w:bookmarkStart w:id="21" w:name="benthic-data-and-growth-adjustment"/>
    <w:p>
      <w:pPr>
        <w:pStyle w:val="Heading2"/>
      </w:pPr>
      <w:r>
        <w:t xml:space="preserve">Benthic Data and Growth-Adjustment</w:t>
      </w:r>
    </w:p>
    <w:p>
      <w:pPr>
        <w:pStyle w:val="FirstParagraph"/>
      </w:pPr>
      <w:r>
        <w:t xml:space="preserve">We integrated multidecadal benthic photo-transect and broad-scale manta tow data</w:t>
      </w:r>
      <w:r>
        <w:t xml:space="preserve"> </w:t>
      </w:r>
      <w:r>
        <w:t xml:space="preserve">across the Great Barrier Reef spanning 1998 to 2024. This expanded 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465</m:t>
        </m:r>
      </m:oMath>
      <w:r>
        <w:t xml:space="preserve"> </w:t>
      </w:r>
      <w:r>
        <w:t xml:space="preserve">reef-event pairs) captures the full spectrum of recent mass bleaching</w:t>
      </w:r>
      <w:r>
        <w:t xml:space="preserve"> </w:t>
      </w:r>
      <w:r>
        <w:t xml:space="preserve">events. To isolate thermal impacts from background demographic turnover, we</w:t>
      </w:r>
      <w:r>
        <w:t xml:space="preserve"> </w:t>
      </w:r>
      <w:r>
        <w:t xml:space="preserve">growth-adjusted baseline mortality estimates using reef-specific Gompertz coral</w:t>
      </w:r>
      <w:r>
        <w:t xml:space="preserve"> </w:t>
      </w:r>
      <w:r>
        <w:t xml:space="preserve">growth parameters. This adjustment accounts for the biological recovery expected</w:t>
      </w:r>
      <w:r>
        <w:t xml:space="preserve"> </w:t>
      </w:r>
      <w:r>
        <w:t xml:space="preserve">between survey intervals. We also constructed a strictly filtered subset of</w:t>
      </w:r>
      <w:r>
        <w:t xml:space="preserve"> </w:t>
      </w:r>
      <w:r>
        <w:t xml:space="preserve">confirmed bleaching mortality (</w:t>
      </w:r>
      <m:oMath>
        <m:r>
          <m:t>N</m:t>
        </m:r>
        <m:r>
          <m:rPr>
            <m:sty m:val="p"/>
          </m:rPr>
          <m:t>=</m:t>
        </m:r>
        <m:r>
          <m:t>305</m:t>
        </m:r>
      </m:oMath>
      <w:r>
        <w:t xml:space="preserve">) to evaluate model sensitivity when excluding</w:t>
      </w:r>
      <w:r>
        <w:t xml:space="preserve"> </w:t>
      </w:r>
      <w:r>
        <w:t xml:space="preserve">compound disturbances such as cyclones and freshwater plumes.</w:t>
      </w:r>
    </w:p>
    <w:bookmarkEnd w:id="21"/>
    <w:bookmarkStart w:id="22" w:name="Xebaf643b64a695ca7378559c63e1b82fee97ca8"/>
    <w:p>
      <w:pPr>
        <w:pStyle w:val="Heading2"/>
      </w:pPr>
      <w:r>
        <w:t xml:space="preserve">Environmental Covariates and Feature Engineering</w:t>
      </w:r>
    </w:p>
    <w:p>
      <w:pPr>
        <w:pStyle w:val="FirstParagraph"/>
      </w:pPr>
      <w:r>
        <w:t xml:space="preserve">We engineered a suite of high-resolution environmental and biological predictors.</w:t>
      </w:r>
      <w:r>
        <w:t xml:space="preserve"> </w:t>
      </w:r>
      <w:r>
        <w:t xml:space="preserve">Thermal stress was parameterized using Degree Heating Weeks (DHW). To test for</w:t>
      </w:r>
      <w:r>
        <w:t xml:space="preserve"> </w:t>
      </w:r>
      <w:r>
        <w:t xml:space="preserve">physical buffering, we integrated localized optical and hydrodynamic modifiers,</w:t>
      </w:r>
      <w:r>
        <w:t xml:space="preserve"> </w:t>
      </w:r>
      <w:r>
        <w:t xml:space="preserve">specifically acute water clarity (Secchi depth), cloud cover fraction, and prevailing</w:t>
      </w:r>
      <w:r>
        <w:t xml:space="preserve"> </w:t>
      </w:r>
      <w:r>
        <w:t xml:space="preserve">current speeds. We also included winter sea surface temperature (SST) variability</w:t>
      </w:r>
      <w:r>
        <w:t xml:space="preserve"> </w:t>
      </w:r>
      <w:r>
        <w:t xml:space="preserve">and the preceding-year proportion of thermally sensitive</w:t>
      </w:r>
      <w:r>
        <w:t xml:space="preserve"> </w:t>
      </w:r>
      <w:r>
        <w:rPr>
          <w:i/>
          <w:iCs/>
        </w:rPr>
        <w:t xml:space="preserve">Acropora</w:t>
      </w:r>
      <w:r>
        <w:t xml:space="preserve"> </w:t>
      </w:r>
      <w:r>
        <w:t xml:space="preserve">taxa to account</w:t>
      </w:r>
      <w:r>
        <w:t xml:space="preserve"> </w:t>
      </w:r>
      <w:r>
        <w:t xml:space="preserve">for community composition.</w:t>
      </w:r>
    </w:p>
    <w:bookmarkEnd w:id="22"/>
    <w:bookmarkStart w:id="23" w:name="statistical-modeling-and-validation"/>
    <w:p>
      <w:pPr>
        <w:pStyle w:val="Heading2"/>
      </w:pPr>
      <w:r>
        <w:t xml:space="preserve">Statistical Modeling and Validation</w:t>
      </w:r>
    </w:p>
    <w:p>
      <w:pPr>
        <w:pStyle w:val="FirstParagraph"/>
      </w:pPr>
      <w:r>
        <w:t xml:space="preserve">We applied a dual analytical architecture. We used Boosted Regression Trees (BRT)</w:t>
      </w:r>
      <w:r>
        <w:t xml:space="preserve"> </w:t>
      </w:r>
      <w:r>
        <w:t xml:space="preserve">to map non-linear feature interactions and derive relative variable importance. We</w:t>
      </w:r>
      <w:r>
        <w:t xml:space="preserve"> </w:t>
      </w:r>
      <w:r>
        <w:t xml:space="preserve">paired this with Bayesian hierarchical Beta and Binomial-OLRE regression models to</w:t>
      </w:r>
      <w:r>
        <w:t xml:space="preserve"> </w:t>
      </w:r>
      <w:r>
        <w:t xml:space="preserve">estimate dose-response trajectories and enforce physical bounds on proportional</w:t>
      </w:r>
      <w:r>
        <w:t xml:space="preserve"> </w:t>
      </w:r>
      <w:r>
        <w:t xml:space="preserve">mortality. The Bayesian framework propagates parameter uncertainty and partitions</w:t>
      </w:r>
      <w:r>
        <w:t xml:space="preserve"> </w:t>
      </w:r>
      <w:r>
        <w:t xml:space="preserve">spatial variance across nested reef clusters. Model stability was assessed using</w:t>
      </w:r>
      <w:r>
        <w:t xml:space="preserve"> </w:t>
      </w:r>
      <w:r>
        <w:t xml:space="preserve">leave-one-event-out and spatial sector-blocked cross-validation, and predictive</w:t>
      </w:r>
      <w:r>
        <w:t xml:space="preserve"> </w:t>
      </w:r>
      <w:r>
        <w:t xml:space="preserve">skill was stress-tested on out-of-sample data from the extreme 2024 mass bleaching</w:t>
      </w:r>
      <w:r>
        <w:t xml:space="preserve"> </w:t>
      </w:r>
      <w:r>
        <w:t xml:space="preserve">event.</w:t>
      </w:r>
    </w:p>
    <w:p>
      <w:pPr>
        <w:pStyle w:val="SourceCode"/>
      </w:pPr>
      <w:r>
        <w:rPr>
          <w:rStyle w:val="VerbatimChar"/>
        </w:rPr>
        <w:t xml:space="preserve">Warning: package 'readr' was built under R version 4.5.1</w:t>
      </w:r>
    </w:p>
    <w:p>
      <w:pPr>
        <w:pStyle w:val="SourceCode"/>
      </w:pPr>
      <w:r>
        <w:rPr>
          <w:rStyle w:val="VerbatimChar"/>
        </w:rPr>
        <w:t xml:space="preserve">Warning: package 'knitr' was built under R version 4.5.3</w:t>
      </w:r>
    </w:p>
    <w:bookmarkEnd w:id="23"/>
    <w:bookmarkEnd w:id="24"/>
    <w:bookmarkStart w:id="29" w:name="results"/>
    <w:p>
      <w:pPr>
        <w:pStyle w:val="Heading1"/>
      </w:pPr>
      <w:r>
        <w:t xml:space="preserve">Results</w:t>
      </w:r>
    </w:p>
    <w:bookmarkStart w:id="25" w:name="model-validation-and-variable-importance"/>
    <w:p>
      <w:pPr>
        <w:pStyle w:val="Heading2"/>
      </w:pPr>
      <w:r>
        <w:t xml:space="preserve">Model Validation and Variable Importance</w:t>
      </w:r>
    </w:p>
    <w:p>
      <w:pPr>
        <w:pStyle w:val="FirstParagraph"/>
      </w:pPr>
      <w:r>
        <w:t xml:space="preserve">The dual analytical framework reliably predicted proportional coral mortality</w:t>
      </w:r>
      <w:r>
        <w:t xml:space="preserve"> </w:t>
      </w:r>
      <w:r>
        <w:t xml:space="preserve">across historical bleaching eras. Spatial sector-blocked cross-validation showed</w:t>
      </w:r>
      <w:r>
        <w:t xml:space="preserve"> </w:t>
      </w:r>
      <w:r>
        <w:t xml:space="preserve">the Bayesian models achieved a strong predictive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minimized mean absolute</w:t>
      </w:r>
      <w:r>
        <w:t xml:space="preserve"> </w:t>
      </w:r>
      <w:r>
        <w:t xml:space="preserve">error compared to isolated univariate frameworks. Boosted Regression Trees identified</w:t>
      </w:r>
      <w:r>
        <w:t xml:space="preserve"> </w:t>
      </w:r>
      <w:r>
        <w:t xml:space="preserve">Degree Heating Weeks as the primary driver of mortality. However, community</w:t>
      </w:r>
      <w:r>
        <w:t xml:space="preserve"> </w:t>
      </w:r>
      <w:r>
        <w:t xml:space="preserve">composition (proportion</w:t>
      </w:r>
      <w:r>
        <w:t xml:space="preserve"> </w:t>
      </w:r>
      <w:r>
        <w:rPr>
          <w:i/>
          <w:iCs/>
        </w:rPr>
        <w:t xml:space="preserve">Acropora</w:t>
      </w:r>
      <w:r>
        <w:t xml:space="preserve">) and optical modifiers (Secchi depth and cloud</w:t>
      </w:r>
      <w:r>
        <w:t xml:space="preserve"> </w:t>
      </w:r>
      <w:r>
        <w:t xml:space="preserve">cover) contributed substantial relative influence, confirming that thermal stress</w:t>
      </w:r>
      <w:r>
        <w:t xml:space="preserve"> </w:t>
      </w:r>
      <w:r>
        <w:t xml:space="preserve">does not act in isolation.</w:t>
      </w:r>
    </w:p>
    <w:bookmarkEnd w:id="25"/>
    <w:bookmarkStart w:id="26" w:name="Xc63b9fa9b167048f76d1d0cb04ea4b67088019b"/>
    <w:p>
      <w:pPr>
        <w:pStyle w:val="Heading2"/>
      </w:pPr>
      <w:r>
        <w:t xml:space="preserve">Dose-Response Trajectories and Environmental Buffering</w:t>
      </w:r>
    </w:p>
    <w:p>
      <w:pPr>
        <w:pStyle w:val="FirstParagraph"/>
      </w:pPr>
      <w:r>
        <w:t xml:space="preserve">Bayesian dose-response curves demonstrated that physical context strongly moderates</w:t>
      </w:r>
      <w:r>
        <w:t xml:space="preserve"> </w:t>
      </w:r>
      <w:r>
        <w:t xml:space="preserve">reef susceptibility to thermal anomalies. High cloud cover and reduced water clarity</w:t>
      </w:r>
      <w:r>
        <w:t xml:space="preserve"> </w:t>
      </w:r>
      <w:r>
        <w:t xml:space="preserve">(lower Secchi depth) attenuated mortality at severe DHW thresholds. This confirms</w:t>
      </w:r>
      <w:r>
        <w:t xml:space="preserve"> </w:t>
      </w:r>
      <w:r>
        <w:t xml:space="preserve">that localized shading and turbidity buffer acute thermal exposure. Conversely,</w:t>
      </w:r>
      <w:r>
        <w:t xml:space="preserve"> </w:t>
      </w:r>
      <w:r>
        <w:t xml:space="preserve">reefs dominated by</w:t>
      </w:r>
      <w:r>
        <w:t xml:space="preserve"> </w:t>
      </w:r>
      <w:r>
        <w:rPr>
          <w:i/>
          <w:iCs/>
        </w:rPr>
        <w:t xml:space="preserve">Acropora</w:t>
      </w:r>
      <w:r>
        <w:t xml:space="preserve"> </w:t>
      </w:r>
      <w:r>
        <w:t xml:space="preserve">in clear-water, unshaded environments experienced</w:t>
      </w:r>
      <w:r>
        <w:t xml:space="preserve"> </w:t>
      </w:r>
      <w:r>
        <w:t xml:space="preserve">steeper mortality trajectories, matching the known physiological sensitivity of</w:t>
      </w:r>
      <w:r>
        <w:t xml:space="preserve"> </w:t>
      </w:r>
      <w:r>
        <w:t xml:space="preserve">these taxa.</w:t>
      </w:r>
    </w:p>
    <w:bookmarkEnd w:id="26"/>
    <w:bookmarkStart w:id="28" w:name="mass-bleaching-generalization"/>
    <w:p>
      <w:pPr>
        <w:pStyle w:val="Heading2"/>
      </w:pPr>
      <w:r>
        <w:t xml:space="preserve">2024 Mass Bleaching Generalization</w:t>
      </w:r>
    </w:p>
    <w:p>
      <w:pPr>
        <w:pStyle w:val="FirstParagraph"/>
      </w:pPr>
      <w:r>
        <w:t xml:space="preserve">When stress-tested against the unprecedented 2024 mass bleaching event as a strict</w:t>
      </w:r>
      <w:r>
        <w:t xml:space="preserve"> </w:t>
      </w:r>
      <w:r>
        <w:t xml:space="preserve">out-of-sample forecast, the framework maintained predictive accuracy. While traditional</w:t>
      </w:r>
      <w:r>
        <w:t xml:space="preserve"> </w:t>
      </w:r>
      <w:r>
        <w:t xml:space="preserve">DHW-only linear models severely underpredicted 2024 mortality, integrating optical</w:t>
      </w:r>
      <w:r>
        <w:t xml:space="preserve"> </w:t>
      </w:r>
      <w:r>
        <w:t xml:space="preserve">modifiers and community composition allowed the BRT and Bayesian models to map the</w:t>
      </w:r>
      <w:r>
        <w:t xml:space="preserve"> </w:t>
      </w:r>
      <w:r>
        <w:t xml:space="preserve">extreme spatial heterogeneity observed during the anomaly.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Summary of model performance metrics across validation folds.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Dataset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RMSE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Predictive R2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ltmp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benchmark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ltmp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brms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ltmp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ltmp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formal_ensemble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ltmp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stacked_ensemble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manta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benchmark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manta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brms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manta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-0.376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manta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formal_ensemble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manta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stacked_ensemble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-0.011</w:t>
                  </w:r>
                </w:p>
              </w:tc>
            </w:tr>
          </w:tbl>
          <w:bookmarkEnd w:id="27"/>
          <w:p/>
        </w:tc>
      </w:tr>
    </w:tbl>
    <w:bookmarkEnd w:id="28"/>
    <w:bookmarkEnd w:id="29"/>
    <w:bookmarkStart w:id="30" w:name="discussion"/>
    <w:p>
      <w:pPr>
        <w:pStyle w:val="Heading1"/>
      </w:pPr>
      <w:r>
        <w:t xml:space="preserve">Discussion</w:t>
      </w:r>
    </w:p>
    <w:bookmarkEnd w:id="30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Start w:id="32" w:name="ref-cacciapaglia2016"/>
    <w:p>
      <w:pPr>
        <w:pStyle w:val="Bibliography"/>
      </w:pPr>
      <w:r>
        <w:t xml:space="preserve">Cacciapaglia, Chris, and Robert van Woesik. 2016.</w:t>
      </w:r>
      <w:r>
        <w:t xml:space="preserve"> </w:t>
      </w:r>
      <w:r>
        <w:t xml:space="preserve">“Climate-Change Refugia: Shading Reef Corals by Turbidity.”</w:t>
      </w:r>
      <w:r>
        <w:t xml:space="preserve"> </w:t>
      </w:r>
      <w:r>
        <w:rPr>
          <w:i/>
          <w:iCs/>
        </w:rPr>
        <w:t xml:space="preserve">Global Change Biology</w:t>
      </w:r>
      <w:r>
        <w:t xml:space="preserve"> </w:t>
      </w:r>
      <w:r>
        <w:t xml:space="preserve">22 (3): 1145–54.</w:t>
      </w:r>
      <w:r>
        <w:t xml:space="preserve"> </w:t>
      </w:r>
      <w:hyperlink r:id="rId31">
        <w:r>
          <w:rPr>
            <w:rStyle w:val="Hyperlink"/>
          </w:rPr>
          <w:t xml:space="preserve">https://doi.org/10.1111/gcb.13166</w:t>
        </w:r>
      </w:hyperlink>
      <w:r>
        <w:t xml:space="preserve">.</w:t>
      </w:r>
    </w:p>
    <w:bookmarkEnd w:id="32"/>
    <w:bookmarkStart w:id="34" w:name="ref-eakin2019"/>
    <w:p>
      <w:pPr>
        <w:pStyle w:val="Bibliography"/>
      </w:pPr>
      <w:r>
        <w:t xml:space="preserve">Eakin, C Mark, Hugh PA Sweatman, and Russell E Brainard. 2019.</w:t>
      </w:r>
      <w:r>
        <w:t xml:space="preserve"> </w:t>
      </w:r>
      <w:r>
        <w:t xml:space="preserve">“The 2014–2017 Global-Scale Coral Bleaching Event: Insights and Impacts.”</w:t>
      </w:r>
      <w:r>
        <w:t xml:space="preserve"> </w:t>
      </w:r>
      <w:r>
        <w:rPr>
          <w:i/>
          <w:iCs/>
        </w:rPr>
        <w:t xml:space="preserve">Coral Reefs</w:t>
      </w:r>
      <w:r>
        <w:t xml:space="preserve"> </w:t>
      </w:r>
      <w:r>
        <w:t xml:space="preserve">38 (4): 539–45.</w:t>
      </w:r>
      <w:r>
        <w:t xml:space="preserve"> </w:t>
      </w:r>
      <w:hyperlink r:id="rId33">
        <w:r>
          <w:rPr>
            <w:rStyle w:val="Hyperlink"/>
          </w:rPr>
          <w:t xml:space="preserve">https://doi.org/10.1007/s00338-019-01844-2</w:t>
        </w:r>
      </w:hyperlink>
      <w:r>
        <w:t xml:space="preserve">.</w:t>
      </w:r>
    </w:p>
    <w:bookmarkEnd w:id="34"/>
    <w:bookmarkStart w:id="36" w:name="ref-hughes2018"/>
    <w:p>
      <w:pPr>
        <w:pStyle w:val="Bibliography"/>
      </w:pPr>
      <w:r>
        <w:t xml:space="preserve">Hughes, Terry P, James T Kerry, Andrew H Baird, Sean R Connolly, Andreas Dietzel, C Mark Eakin, Scott F Heron, et al. 2018.</w:t>
      </w:r>
      <w:r>
        <w:t xml:space="preserve"> </w:t>
      </w:r>
      <w:r>
        <w:t xml:space="preserve">“Spatial and Temporal Patterns of Mass Bleaching of Corals in the Anthropocene.”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359 (6371): 80–83.</w:t>
      </w:r>
      <w:r>
        <w:t xml:space="preserve"> </w:t>
      </w:r>
      <w:hyperlink r:id="rId35">
        <w:r>
          <w:rPr>
            <w:rStyle w:val="Hyperlink"/>
          </w:rPr>
          <w:t xml:space="preserve">https://doi.org/10.1126/science.aan8048</w:t>
        </w:r>
      </w:hyperlink>
      <w:r>
        <w:t xml:space="preserve">.</w:t>
      </w:r>
    </w:p>
    <w:bookmarkEnd w:id="36"/>
    <w:bookmarkStart w:id="38" w:name="ref-macneil2019"/>
    <w:p>
      <w:pPr>
        <w:pStyle w:val="Bibliography"/>
      </w:pPr>
      <w:r>
        <w:t xml:space="preserve">MacNeil, M Aaron, Camille Mellin, Samuel Matthews, Nicholas H Wolff, Tim R McClanahan, Michelle Devlin, Christopher Drovandi, Kerrie Mengersen, and Russ C Babcock. 2019.</w:t>
      </w:r>
      <w:r>
        <w:t xml:space="preserve"> </w:t>
      </w:r>
      <w:r>
        <w:t xml:space="preserve">“Water Quality Mediates Resilience on the Great Barrier Reef.”</w:t>
      </w:r>
      <w:r>
        <w:t xml:space="preserve"> </w:t>
      </w:r>
      <w:r>
        <w:rPr>
          <w:i/>
          <w:iCs/>
        </w:rPr>
        <w:t xml:space="preserve">Nature Ecology &amp; Evolution</w:t>
      </w:r>
      <w:r>
        <w:t xml:space="preserve"> </w:t>
      </w:r>
      <w:r>
        <w:t xml:space="preserve">3 (4): 620–27.</w:t>
      </w:r>
      <w:r>
        <w:t xml:space="preserve"> </w:t>
      </w:r>
      <w:hyperlink r:id="rId37">
        <w:r>
          <w:rPr>
            <w:rStyle w:val="Hyperlink"/>
          </w:rPr>
          <w:t xml:space="preserve">https://doi.org/10.1038/s41559-019-0832-3</w:t>
        </w:r>
      </w:hyperlink>
      <w:r>
        <w:t xml:space="preserve">.</w:t>
      </w:r>
    </w:p>
    <w:bookmarkEnd w:id="38"/>
    <w:bookmarkStart w:id="40" w:name="ref-vanoppen2017"/>
    <w:p>
      <w:pPr>
        <w:pStyle w:val="Bibliography"/>
      </w:pPr>
      <w:r>
        <w:t xml:space="preserve">Oppen, Madeleine JH van, Ruth D Gates, Linda L Blackall, Neal Cantin, Leela J Chakravarti, Wing Y Chan, Craig Cormick, et al. 2017.</w:t>
      </w:r>
      <w:r>
        <w:t xml:space="preserve"> </w:t>
      </w:r>
      <w:r>
        <w:t xml:space="preserve">“Shifting Paradigms in Restoration of the World’s Coral Reefs.”</w:t>
      </w:r>
      <w:r>
        <w:t xml:space="preserve"> </w:t>
      </w:r>
      <w:r>
        <w:rPr>
          <w:i/>
          <w:iCs/>
        </w:rPr>
        <w:t xml:space="preserve">Global Change Biology</w:t>
      </w:r>
      <w:r>
        <w:t xml:space="preserve"> </w:t>
      </w:r>
      <w:r>
        <w:t xml:space="preserve">23 (9): 3437–48.</w:t>
      </w:r>
      <w:r>
        <w:t xml:space="preserve"> </w:t>
      </w:r>
      <w:hyperlink r:id="rId39">
        <w:r>
          <w:rPr>
            <w:rStyle w:val="Hyperlink"/>
          </w:rPr>
          <w:t xml:space="preserve">https://doi.org/10.1111/gcb.13647</w:t>
        </w:r>
      </w:hyperlink>
      <w:r>
        <w:t xml:space="preserve">.</w:t>
      </w:r>
    </w:p>
    <w:bookmarkEnd w:id="40"/>
    <w:bookmarkStart w:id="42" w:name="ref-safaie2018"/>
    <w:p>
      <w:pPr>
        <w:pStyle w:val="Bibliography"/>
      </w:pPr>
      <w:r>
        <w:t xml:space="preserve">Safaie, Aryan, Nyssa J Silbiger, Tim R McClanahan, Geno Pawlak, Daniel J Barshis, James L Hench, Justin S Rogers, Gareth J Williams, and Kristen A Davis. 2018.</w:t>
      </w:r>
      <w:r>
        <w:t xml:space="preserve"> </w:t>
      </w:r>
      <w:r>
        <w:t xml:space="preserve">“High-Frequency Temperature Variability Reduces the Risk of Coral Bleaching.”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9 (1): 1671.</w:t>
      </w:r>
      <w:r>
        <w:t xml:space="preserve"> </w:t>
      </w:r>
      <w:hyperlink r:id="rId41">
        <w:r>
          <w:rPr>
            <w:rStyle w:val="Hyperlink"/>
          </w:rPr>
          <w:t xml:space="preserve">https://doi.org/10.1038/s41467-018-04074-2</w:t>
        </w:r>
      </w:hyperlink>
      <w:r>
        <w:t xml:space="preserve">.</w:t>
      </w:r>
    </w:p>
    <w:bookmarkEnd w:id="42"/>
    <w:bookmarkStart w:id="44" w:name="ref-wold2023"/>
    <w:p>
      <w:pPr>
        <w:pStyle w:val="Bibliography"/>
      </w:pPr>
      <w:r>
        <w:t xml:space="preserve">Wold, Renee, Jacquelyn Simpson, Spencer Miller, Joshua R Hancock, Crawford Drury, and Joshua S Madin. 2023.</w:t>
      </w:r>
      <w:r>
        <w:t xml:space="preserve"> </w:t>
      </w:r>
      <w:r>
        <w:t xml:space="preserve">“Fine-Scale Variability in Coral Bleaching and Mortality During a Marine Heatwave.”</w:t>
      </w:r>
      <w:r>
        <w:t xml:space="preserve"> </w:t>
      </w:r>
      <w:r>
        <w:rPr>
          <w:i/>
          <w:iCs/>
        </w:rPr>
        <w:t xml:space="preserve">Frontiers in Marine Science</w:t>
      </w:r>
      <w:r>
        <w:t xml:space="preserve"> </w:t>
      </w:r>
      <w:r>
        <w:t xml:space="preserve">10: 1108365.</w:t>
      </w:r>
      <w:r>
        <w:t xml:space="preserve"> </w:t>
      </w:r>
      <w:hyperlink r:id="rId43">
        <w:r>
          <w:rPr>
            <w:rStyle w:val="Hyperlink"/>
          </w:rPr>
          <w:t xml:space="preserve">https://doi.org/10.3389/fmars.2023.1108365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doi.org/10.1007/s00338-019-01844-2" TargetMode="External" /><Relationship Type="http://schemas.openxmlformats.org/officeDocument/2006/relationships/hyperlink" Id="rId41" Target="https://doi.org/10.1038/s41467-018-04074-2" TargetMode="External" /><Relationship Type="http://schemas.openxmlformats.org/officeDocument/2006/relationships/hyperlink" Id="rId37" Target="https://doi.org/10.1038/s41559-019-0832-3" TargetMode="External" /><Relationship Type="http://schemas.openxmlformats.org/officeDocument/2006/relationships/hyperlink" Id="rId31" Target="https://doi.org/10.1111/gcb.13166" TargetMode="External" /><Relationship Type="http://schemas.openxmlformats.org/officeDocument/2006/relationships/hyperlink" Id="rId39" Target="https://doi.org/10.1111/gcb.13647" TargetMode="External" /><Relationship Type="http://schemas.openxmlformats.org/officeDocument/2006/relationships/hyperlink" Id="rId35" Target="https://doi.org/10.1126/science.aan8048" TargetMode="External" /><Relationship Type="http://schemas.openxmlformats.org/officeDocument/2006/relationships/hyperlink" Id="rId43" Target="https://doi.org/10.3389/fmars.2023.110836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doi.org/10.1007/s00338-019-01844-2" TargetMode="External" /><Relationship Type="http://schemas.openxmlformats.org/officeDocument/2006/relationships/hyperlink" Id="rId41" Target="https://doi.org/10.1038/s41467-018-04074-2" TargetMode="External" /><Relationship Type="http://schemas.openxmlformats.org/officeDocument/2006/relationships/hyperlink" Id="rId37" Target="https://doi.org/10.1038/s41559-019-0832-3" TargetMode="External" /><Relationship Type="http://schemas.openxmlformats.org/officeDocument/2006/relationships/hyperlink" Id="rId31" Target="https://doi.org/10.1111/gcb.13166" TargetMode="External" /><Relationship Type="http://schemas.openxmlformats.org/officeDocument/2006/relationships/hyperlink" Id="rId39" Target="https://doi.org/10.1111/gcb.13647" TargetMode="External" /><Relationship Type="http://schemas.openxmlformats.org/officeDocument/2006/relationships/hyperlink" Id="rId35" Target="https://doi.org/10.1126/science.aan8048" TargetMode="External" /><Relationship Type="http://schemas.openxmlformats.org/officeDocument/2006/relationships/hyperlink" Id="rId43" Target="https://doi.org/10.3389/fmars.2023.110836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Multidimensional Attribution of Coral Bleaching Mortality on the Great Barrier Reef</dc:title>
  <dc:creator>Samuel Matthews</dc:creator>
  <cp:keywords/>
  <dcterms:created xsi:type="dcterms:W3CDTF">2026-08-24T01:45:51Z</dcterms:created>
  <dcterms:modified xsi:type="dcterms:W3CDTF">2026-08-24T01:45:51Z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[Abstract Placeholder]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