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png" ContentType="image/png"/>
  <Override PartName="/word/media/rId45.png" ContentType="image/png"/>
  <Override PartName="/word/media/rId50.png" ContentType="image/png"/>
  <Override PartName="/word/media/rId168.png" ContentType="image/png"/>
  <Override PartName="/word/media/rId172.png" ContentType="image/png"/>
  <Override PartName="/word/media/rId162.png" ContentType="image/png"/>
  <Override PartName="/word/media/rId177.png" ContentType="image/png"/>
  <Override PartName="/word/media/rId181.png" ContentType="image/png"/>
  <Override PartName="/word/media/rId62.png" ContentType="image/png"/>
  <Override PartName="/word/media/rId194.png" ContentType="image/png"/>
  <Override PartName="/word/media/rId186.png" ContentType="image/png"/>
  <Override PartName="/word/media/rId190.png" ContentType="image/png"/>
  <Override PartName="/word/media/rId70.png" ContentType="image/png"/>
  <Override PartName="/word/media/rId56.png" ContentType="image/png"/>
  <Override PartName="/word/media/rId34.png" ContentType="image/png"/>
  <Override PartName="/word/media/rId75.png" ContentType="image/png"/>
  <Override PartName="/word/media/rId81.png" ContentType="image/png"/>
  <Override PartName="/word/media/rId87.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to look for crown-of-thorns starfish on a reef</w:t>
      </w:r>
    </w:p>
    <w:p>
      <w:pPr>
        <w:pStyle w:val="Subtitle"/>
      </w:pPr>
      <w:r>
        <w:t xml:space="preserve">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spends much of its vessel time searching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Recent evidence combined with predicted habitat makes cull-site searches more efficient.</w:t>
      </w:r>
      <w:r>
        <w:t xml:space="preserve"> </w:t>
      </w:r>
      <w:r>
        <w:t xml:space="preserve">Sites were ranked by last season’s cull dives and manta tows, with the 30 m habitat layer ordering sites without recent evidence. For the same 90% of problematic dives (at least 0.02 COTS per minute of bottom time), the share of sites searched fell from 88% to 82%. Low-density dives avoided rose from 10% to 16%, and ghost dives (no COTS) avoided from 13% to 21%. In 2022–2026, keeping 80% of problematic dives needed only 61% of sites, against 74%.</w:t>
      </w:r>
    </w:p>
    <w:p>
      <w:pPr>
        <w:pStyle w:val="Compact"/>
        <w:numPr>
          <w:ilvl w:val="0"/>
          <w:numId w:val="1002"/>
        </w:numPr>
      </w:pPr>
      <w:r>
        <w:rPr>
          <w:b/>
          <w:bCs/>
        </w:rPr>
        <w:t xml:space="preserve">It held up season after season.</w:t>
      </w:r>
      <w:r>
        <w:t xml:space="preserve"> </w:t>
      </w:r>
      <w:r>
        <w:t xml:space="preserve">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irruption waves, but recent build-up and validation remain unresolved.</w:t>
      </w:r>
      <w:r>
        <w:t xml:space="preserve"> </w:t>
      </w:r>
      <w:r>
        <w:t xml:space="preserve">Three candidates matched all 7 historical peaks across 5 seed pairs. Recorded culling exposed too few simulated COTS in the 2020s. New runs extend to 2026, but control-policy benefits await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Order cull-site searches by the 2027 ranking and work down the classes. The lowest class (D) is the realistic candidate to defer.</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5"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Irruptions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irruptions by manual culling, which can protect coral when sustained at the right reefs</w:t>
      </w:r>
      <w:r>
        <w:t xml:space="preserve"> </w:t>
      </w:r>
      <w:r>
        <w:t xml:space="preserve">(Matthews et al., 2024)</w:t>
      </w:r>
      <w:r>
        <w:t xml:space="preserve">. A substantial portion of operational effort goes into searching for COTS, creating opportunities to improve where surveillance and culling are directed.</w:t>
      </w:r>
    </w:p>
    <w:p>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w:t>
      </w:r>
      <w:r>
        <w:t xml:space="preserve"> </w:t>
      </w:r>
      <w:r>
        <w:t xml:space="preserve">(Great Barrier Reef Marine Park Authority, 2026)</w:t>
      </w:r>
      <w:r>
        <w:t xml:space="preserve">. The dashboards bring together recent observations to support these decisions</w:t>
      </w:r>
      <w:r>
        <w:t xml:space="preserve"> </w:t>
      </w:r>
      <w:r>
        <w:t xml:space="preserve">(Matthews et al., 2025)</w:t>
      </w:r>
      <w:r>
        <w:t xml:space="preserve">. In the held-out cull records from 2018 to 2026, 18% of dives found no COTS (ghost dives), and a further 21% found COTS at CPUE below 0.02 COTS per minute of bottom time (low-density dives).</w:t>
      </w:r>
      <w:r>
        <w:t xml:space="preserve"> </w:t>
      </w:r>
    </w:p>
    <w:p>
      <w:pPr>
        <w:pStyle w:val="BodyText"/>
      </w:pPr>
      <w:r>
        <w:t xml:space="preserve">The operational strategy links decisions from individual sites to voyages and regional priorities</w:t>
      </w:r>
      <w:r>
        <w:t xml:space="preserve"> </w:t>
      </w:r>
      <w:r>
        <w:t xml:space="preserve">(Fletcher et al., 2020)</w:t>
      </w:r>
      <w:r>
        <w:t xml:space="preserve">.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w:t>
      </w:r>
      <w:r>
        <w:t xml:space="preserve"> </w:t>
      </w:r>
    </w:p>
    <w:p>
      <w:pPr>
        <w:pStyle w:val="BodyText"/>
      </w:pPr>
      <w:r>
        <w:t xml:space="preserve">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bookmarkEnd w:id="21"/>
    <w:bookmarkStart w:id="22" w:name="earlier-models-this-project-builds-on"/>
    <w:p>
      <w:pPr>
        <w:pStyle w:val="Heading2"/>
      </w:pPr>
      <w:r>
        <w:t xml:space="preserve">1.2 Earlier models this project builds on</w:t>
      </w:r>
    </w:p>
    <w:p>
      <w:pPr>
        <w:pStyle w:val="FirstParagraph"/>
      </w:pPr>
      <w:r>
        <w:t xml:space="preserve">Most COTS modelling has treated whole reefs as its spatial units, either across the GBR for regional planning</w:t>
      </w:r>
      <w:r>
        <w:t xml:space="preserve"> </w:t>
      </w:r>
      <w:r>
        <w:t xml:space="preserve">(Matthews et al., 2020b; Condie et al., 2021; Bozec et al., 2022)</w:t>
      </w:r>
      <w:r>
        <w:t xml:space="preserve"> </w:t>
      </w:r>
      <w:r>
        <w:t xml:space="preserve">or on individual reefs to inform culling thresholds</w:t>
      </w:r>
      <w:r>
        <w:t xml:space="preserve"> </w:t>
      </w:r>
      <w:r>
        <w:t xml:space="preserve">(Morello et al., 2014; Plagányi et al., 2020)</w:t>
      </w:r>
      <w:r>
        <w:t xml:space="preserve">. Reef-level distribution models showed that larval connectivity and water quality explain much of the spatial distribution of irruptions</w:t>
      </w:r>
      <w:r>
        <w:t xml:space="preserve"> </w:t>
      </w:r>
      <w:r>
        <w:t xml:space="preserve">(Matthews et al., 2020a)</w:t>
      </w:r>
      <w:r>
        <w:t xml:space="preserve">, and a hybrid machine-learning model estimates each reef’s annual irruption probability</w:t>
      </w:r>
      <w:r>
        <w:t xml:space="preserve"> </w:t>
      </w:r>
      <w:r>
        <w:t xml:space="preserve">(Stewart et al., 2026)</w:t>
      </w:r>
      <w:r>
        <w:t xml:space="preserve">. Population and ecosystem models help compare regional control strategies and ecological targets, but their whole-reef units do not identify where within a reef to search or cull.</w:t>
      </w:r>
    </w:p>
    <w:p>
      <w:pPr>
        <w:pStyle w:val="BodyText"/>
      </w:pPr>
      <w:r>
        <w:t xml:space="preserve">Recent developments support finer spatial resolution. Coral species distribution models use satellite-derived multiscale terrain and benthic variables to map habitat for key coral taxa at tens of metres</w:t>
      </w:r>
      <w:r>
        <w:t xml:space="preserve"> </w:t>
      </w:r>
      <w:r>
        <w:t xml:space="preserve">(Guillaume et al., 2025)</w:t>
      </w:r>
      <w:r>
        <w:t xml:space="preserve">. Their predictions and environmental predictors are inputs to the habitat modelling here, which maps COTS suitability at 30 m and combines it with recent program observations.</w:t>
      </w:r>
    </w:p>
    <w:p>
      <w:pPr>
        <w:pStyle w:val="BodyText"/>
      </w:pPr>
      <w:r>
        <w:t xml:space="preserve">In parallel, advances in hydrodynamic and COTS larval-connectivity modelling provide a route to representing connections among smaller areas of reef. This project adapts COTSMod, a spatially explicit model of COTS populations and coral recovery</w:t>
      </w:r>
      <w:r>
        <w:t xml:space="preserve"> </w:t>
      </w:r>
      <w:r>
        <w:t xml:space="preserve">(Matthews et al., 2020b)</w:t>
      </w:r>
      <w:r>
        <w:t xml:space="preserve">, to represent site-level dynamics in the northern GBR irruption initiation box. It uses AIMS’s high-throughput ADRIA ecosystem modelling framework and CoralBlox coral dynamics</w:t>
      </w:r>
      <w:r>
        <w:t xml:space="preserve"> </w:t>
      </w:r>
      <w:r>
        <w:t xml:space="preserve">(de Almeida et al., 2026; open-AIMS, 2026a)</w:t>
      </w:r>
      <w:r>
        <w:t xml:space="preserve">.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 xml:space="preserve">Section 2.5</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w:t>
      </w:r>
      <w:r>
        <w:t xml:space="preserve"> </w:t>
      </w:r>
      <w:r>
        <w:t xml:space="preserve">(Plagányi et al., 2020; Great Barrier Reef Marine Park Authority, 2026)</w:t>
      </w:r>
      <w:r>
        <w:t xml:space="preserve">. The existing retrospective analyses used ≥0.02 to define a problematic dive and &lt;0.02 for a low-density dive. Their results are retained under those definitions; evaluation against the revised &gt;0.04 management criterion is required in the next analysis pass.</w:t>
      </w:r>
    </w:p>
    <w:p>
      <w:pPr>
        <w:pStyle w:val="BodyText"/>
      </w:pPr>
      <w:r>
        <w:t xml:space="preserve">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pPr>
        <w:pStyle w:val="BodyText"/>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w:t>
      </w:r>
      <w:r>
        <w:t xml:space="preserve"> </w:t>
      </w:r>
      <w:r>
        <w:t xml:space="preserve">(Chandler et al., 2023; Uthicke et al., 2024)</w:t>
      </w:r>
      <w:r>
        <w:t xml:space="preserve"> </w:t>
      </w:r>
      <w:r>
        <w:t xml:space="preserve">also motivates assessing whether the emerging fifth primary irruption wave can be suppressed, and what resources this would require.</w:t>
      </w:r>
    </w:p>
    <w:bookmarkEnd w:id="23"/>
    <w:bookmarkStart w:id="24" w:name="project-objectives"/>
    <w:p>
      <w:pPr>
        <w:pStyle w:val="Heading2"/>
      </w:pPr>
      <w:r>
        <w:t xml:space="preserve">1.4 Project objectives</w:t>
      </w:r>
    </w:p>
    <w:p>
      <w:pPr>
        <w:pStyle w:val="FirstParagraph"/>
      </w:pPr>
      <w:r>
        <w:t xml:space="preserve">The CCIP-BR-13 Work Plan set three objectives:</w:t>
      </w:r>
    </w:p>
    <w:p>
      <w:pPr>
        <w:pStyle w:val="Compact"/>
        <w:numPr>
          <w:ilvl w:val="0"/>
          <w:numId w:val="1006"/>
        </w:numPr>
      </w:pPr>
      <w:r>
        <w:t xml:space="preserve">Develop GBR-wide predictive fine-scale habitat suitability models by connecting fine-scale COTS data to new high-resolution benthic and coral habitat data.</w:t>
      </w:r>
    </w:p>
    <w:p>
      <w:pPr>
        <w:pStyle w:val="Compact"/>
        <w:numPr>
          <w:ilvl w:val="0"/>
          <w:numId w:val="1006"/>
        </w:numPr>
      </w:pPr>
      <w:r>
        <w:t xml:space="preserve">Optimise and standardise surveillance paths to improve irruption detection and operational efficiency, including a comparison against traditional perimeter-based surveillance.</w:t>
      </w:r>
    </w:p>
    <w:p>
      <w:pPr>
        <w:pStyle w:val="Compact"/>
        <w:numPr>
          <w:ilvl w:val="0"/>
          <w:numId w:val="1006"/>
        </w:numPr>
      </w:pPr>
      <w:r>
        <w:t xml:space="preserve">Refine management strategies for distinct reef habitat types through predicted suitable habitat and metapopulation modelling.</w:t>
      </w:r>
    </w:p>
    <w:p>
      <w:pPr>
        <w:pStyle w:val="FirstParagraph"/>
      </w:pPr>
      <w:r>
        <w:t xml:space="preserve">For Objectives 1 and 2, the report evaluates habitat layers, manta thinning and cull-site rankings combining habitat with recent evidence (</w:t>
      </w:r>
      <w:hyperlink w:anchor="sec-cull">
        <w:r>
          <w:rPr>
            <w:rStyle w:val="Hyperlink"/>
          </w:rPr>
          <w:t xml:space="preserve">Section 3.1</w:t>
        </w:r>
      </w:hyperlink>
      <w:r>
        <w:t xml:space="preserve">).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pPr>
        <w:pStyle w:val="BodyText"/>
      </w:pPr>
      <w:r>
        <w:t xml:space="preserve">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These are refinements of the management questions within the Work Plan objective, rather than completed policy results. Historical culling is implemented as prescribed removals, but independent validation and operational effort modelling remain necessary before the model can assess those strategies credibly (</w:t>
      </w:r>
      <w:hyperlink w:anchor="sec-metacommunity-results">
        <w:r>
          <w:rPr>
            <w:rStyle w:val="Hyperlink"/>
          </w:rPr>
          <w:t xml:space="preserve">Section 3.6</w:t>
        </w:r>
      </w:hyperlink>
      <w:r>
        <w:t xml:space="preserve">). Methods describe the prototype and its calibration (</w:t>
      </w:r>
      <w:hyperlink w:anchor="sec-metacommunity">
        <w:r>
          <w:rPr>
            <w:rStyle w:val="Hyperlink"/>
          </w:rPr>
          <w:t xml:space="preserve">Section 2.5</w:t>
        </w:r>
      </w:hyperlink>
      <w:r>
        <w:t xml:space="preserve">); Appendix E maps the Work Plan outputs to the report.</w:t>
      </w:r>
    </w:p>
    <w:bookmarkEnd w:id="24"/>
    <w:bookmarkEnd w:id="25"/>
    <w:bookmarkStart w:id="32" w:name="methods"/>
    <w:p>
      <w:pPr>
        <w:pStyle w:val="Heading1"/>
      </w:pPr>
      <w:r>
        <w:t xml:space="preserve">2. Methods</w:t>
      </w:r>
    </w:p>
    <w:p>
      <w:pPr>
        <w:pStyle w:val="FirstParagraph"/>
      </w:pPr>
      <w:r>
        <w:t xml:space="preserve">Model reporting follows the ODMAP structure for species distribution models where it applies</w:t>
      </w:r>
      <w:r>
        <w:t xml:space="preserve"> </w:t>
      </w:r>
      <w:r>
        <w:t xml:space="preserve">(Zurell et al., 2020)</w:t>
      </w:r>
      <w:r>
        <w:t xml:space="preserve">.</w:t>
      </w:r>
    </w:p>
    <w:bookmarkStart w:id="26" w:name="data-and-response-definitions"/>
    <w:p>
      <w:pPr>
        <w:pStyle w:val="Heading2"/>
      </w:pPr>
      <w:r>
        <w:t xml:space="preserve">2.1 Data and response definitions</w:t>
      </w:r>
    </w:p>
    <w:p>
      <w:pPr>
        <w:pStyle w:val="FirstParagraph"/>
      </w:pPr>
      <w:r>
        <w:t xml:space="preserve">Cull dives from the COTS Control Program provided the site, date, number of COTS culled and bottom time for each dive. Records with missing counts or non-positive bottom time were excluded. Dives were matched to the November 2025 EoTR designated cull-site register by reef and standardised site name, with a spatial fallback to the nearest polygon within 100 m on the same reef. This matched 93.8% of dives. The register contained 15,884 site polygons on 576 reefs; 4,299 sites had been dived. [TO CONFIRM: years of cull records used for the archived habitat fits and the data-access agreement.]</w:t>
      </w:r>
    </w:p>
    <w:p>
      <w:pPr>
        <w:pStyle w:val="BodyText"/>
      </w:pPr>
      <w:r>
        <w:t xml:space="preserve">A problematic dive had catch per unit effort (CPUE) ≥ 0.02 COTS per minute of bottom time. Dives that found COTS below this threshold were low-density dives; those that found none were ghost dives. Habitat models used the archived problematic-density indicator at the cull site-year scale, while operational selection was evaluated against individual dive outcomes.</w:t>
      </w:r>
    </w:p>
    <w:p>
      <w:pPr>
        <w:pStyle w:val="BodyText"/>
      </w:pPr>
      <w:r>
        <w:t xml:space="preserve">The manta-trained model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Cull and manta records were collected by program crews and held by GBRMPA. [TO CONFIRM: years covered by the manta records.] SALAD imagery surveys and Reef Health and Impact Surveys (RHIS) contributed to the explanatory joint model only. [TO CONFIRM: SALAD and RHIS custodians, sampling methods and years.]</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[CITATION NEEDED: bathymetry, ReefGuide and GBR10 geomorphic-map sources.] [TO CONFIRM: that AhyaD, Aspat and Aten are the Guillaume et al. (2025) models, and predictor dates and resampling methods.]</w:t>
      </w:r>
    </w:p>
    <w:bookmarkEnd w:id="26"/>
    <w:bookmarkStart w:id="27" w:name="habitat-models-and-mapped-layers"/>
    <w:p>
      <w:pPr>
        <w:pStyle w:val="Heading2"/>
      </w:pPr>
      <w:r>
        <w:t xml:space="preserve">2.2 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10⁻¹⁰,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27"/>
    <w:bookmarkStart w:id="28" w:name="X0169ef9a59d7e3c3f870eeac9fa241e3243f675"/>
    <w:p>
      <w:pPr>
        <w:pStyle w:val="Heading2"/>
      </w:pPr>
      <w:r>
        <w:t xml:space="preserve">2.3 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28"/>
    <w:bookmarkStart w:id="29" w:name="seasonal-products"/>
    <w:p>
      <w:pPr>
        <w:pStyle w:val="Heading2"/>
      </w:pPr>
      <w:r>
        <w:t xml:space="preserve">2.4 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29"/>
    <w:bookmarkStart w:id="30" w:name="sec-metacommunity"/>
    <w:p>
      <w:pPr>
        <w:pStyle w:val="Heading2"/>
      </w:pPr>
      <w:r>
        <w:t xml:space="preserve">2.5 Metacommunity model and historical culling</w:t>
      </w:r>
    </w:p>
    <w:p>
      <w:pPr>
        <w:pStyle w:val="FirstParagraph"/>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2026b, 2026a)</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2020;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bookmarkEnd w:id="30"/>
    <w:bookmarkStart w:id="31" w:name="software-and-reproducibility"/>
    <w:p>
      <w:pPr>
        <w:pStyle w:val="Heading2"/>
      </w:pPr>
      <w:r>
        <w:t xml:space="preserve">2.6 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bookmarkEnd w:id="31"/>
    <w:bookmarkEnd w:id="32"/>
    <w:bookmarkStart w:id="99" w:name="results"/>
    <w:p>
      <w:pPr>
        <w:pStyle w:val="Heading1"/>
      </w:pPr>
      <w:r>
        <w:t xml:space="preserve">3. Results</w:t>
      </w:r>
    </w:p>
    <w:bookmarkStart w:id="38" w:name="sec-cull"/>
    <w:p>
      <w:pPr>
        <w:pStyle w:val="Heading2"/>
      </w:pPr>
      <w:r>
        <w:t xml:space="preserve">3.1 Recent evidence combined with habitat reduces the cull-site search</w:t>
      </w:r>
    </w:p>
    <w:p>
      <w:pPr>
        <w:pStyle w:val="FirstParagraph"/>
      </w:pPr>
      <w:r>
        <w:t xml:space="preserve">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1</w:t>
        </w:r>
      </w:hyperlink>
      <w:r>
        <w:t xml:space="preserve">,</w:t>
      </w:r>
      <w:r>
        <w:t xml:space="preserve"> </w:t>
      </w:r>
      <w:hyperlink w:anchor="fig-evidence">
        <w:r>
          <w:rPr>
            <w:rStyle w:val="Hyperlink"/>
          </w:rPr>
          <w:t xml:space="preserve">Figure 1</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07"/>
        </w:numPr>
      </w:pPr>
      <w:r>
        <w:t xml:space="preserve">reduced the designated sites searched from 88% to 82%;</w:t>
      </w:r>
    </w:p>
    <w:p>
      <w:pPr>
        <w:pStyle w:val="Compact"/>
        <w:numPr>
          <w:ilvl w:val="0"/>
          <w:numId w:val="1007"/>
        </w:numPr>
      </w:pPr>
      <w:r>
        <w:t xml:space="preserve">raised low-density dives avoided from 10% to 16%;</w:t>
      </w:r>
    </w:p>
    <w:p>
      <w:pPr>
        <w:pStyle w:val="Compact"/>
        <w:numPr>
          <w:ilvl w:val="0"/>
          <w:numId w:val="1007"/>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33" w:name="tbl-evidence"/>
          <w:p>
            <w:pPr>
              <w:jc w:val="center"/>
            </w:pPr>
            <w:pPr>
              <w:jc w:val="start"/>
              <w:spacing w:before="200"/>
              <w:pStyle w:val="ImageCaption"/>
            </w:pPr>
            <w:r>
              <w:t xml:space="preserve">Table 1: Habitat-only ranking → habitat plus previous-season evidence, compared at matched retention of problematic dives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fig-evidence"/>
          <w:p>
            <w:pPr>
              <w:pStyle w:val="Compact"/>
              <w:jc w:val="center"/>
            </w:pPr>
            <w:r>
              <w:drawing>
                <wp:inline>
                  <wp:extent cx="5727700" cy="3512989"/>
                  <wp:effectExtent b="0" l="0" r="0" t="0"/>
                  <wp:docPr descr="" title="" id="35" name="Picture"/>
                  <a:graphic>
                    <a:graphicData uri="http://schemas.openxmlformats.org/drawingml/2006/picture">
                      <pic:pic>
                        <pic:nvPicPr>
                          <pic:cNvPr descr="../outputs/figures/fig15_cull_search_area_evidence.png" id="36" name="Picture"/>
                          <pic:cNvPicPr>
                            <a:picLocks noChangeArrowheads="1" noChangeAspect="1"/>
                          </pic:cNvPicPr>
                        </pic:nvPicPr>
                        <pic:blipFill>
                          <a:blip r:embed="rId34"/>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37"/>
        </w:tc>
      </w:tr>
    </w:tbl>
    <w:p>
      <w:pPr>
        <w:pStyle w:val="BodyText"/>
      </w:pPr>
      <w:r>
        <w:t xml:space="preserve">The fitted model weighs the evidence in ways that match field experience:</w:t>
      </w:r>
    </w:p>
    <w:p>
      <w:pPr>
        <w:pStyle w:val="Compact"/>
        <w:numPr>
          <w:ilvl w:val="0"/>
          <w:numId w:val="1008"/>
        </w:numPr>
      </w:pPr>
      <w:r>
        <w:t xml:space="preserve">strong manta tows or problematic dives nearby raised a site’s rank;</w:t>
      </w:r>
    </w:p>
    <w:p>
      <w:pPr>
        <w:pStyle w:val="Compact"/>
        <w:numPr>
          <w:ilvl w:val="0"/>
          <w:numId w:val="1008"/>
        </w:numPr>
      </w:pPr>
      <w:r>
        <w:t xml:space="preserve">a site dived the previous season with nothing problematic dropped sharply;</w:t>
      </w:r>
    </w:p>
    <w:p>
      <w:pPr>
        <w:pStyle w:val="Compact"/>
        <w:numPr>
          <w:ilvl w:val="0"/>
          <w:numId w:val="1008"/>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38"/>
    <w:bookmarkStart w:id="40" w:name="the-gain-holds-season-by-season"/>
    <w:p>
      <w:pPr>
        <w:pStyle w:val="Heading2"/>
      </w:pPr>
      <w:r>
        <w:t xml:space="preserve">3.2 The gain holds season by season</w:t>
      </w:r>
    </w:p>
    <w:p>
      <w:pPr>
        <w:pStyle w:val="FirstParagraph"/>
      </w:pPr>
      <w:r>
        <w:t xml:space="preserve">The combined ranking was also tested strictly forward. For each season it was fitted only on earlier seasons. It avoided more low-density dives than habitat alone in every season from 2022, and searched fewer sites in every season from 2023 (</w:t>
      </w:r>
      <w:hyperlink w:anchor="tbl-seasons">
        <w:r>
          <w:rPr>
            <w:rStyle w:val="Hyperlink"/>
          </w:rPr>
          <w:t xml:space="preserve">Table 2</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39" w:name="tbl-seasons"/>
          <w:p>
            <w:pPr>
              <w:jc w:val="center"/>
            </w:pPr>
            <w:pPr>
              <w:jc w:val="start"/>
              <w:spacing w:before="200"/>
              <w:pStyle w:val="ImageCaption"/>
            </w:pPr>
            <w:r>
              <w:t xml:space="preserve">Table 2: Year-by-year forward test of the cull-site ranking with 90% of problematic dives retained. Each season is ranked by a model fitted only on earlier seasons.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39"/>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40"/>
    <w:bookmarkStart w:id="68" w:name="sec-sources"/>
    <w:p>
      <w:pPr>
        <w:pStyle w:val="Heading2"/>
      </w:pPr>
      <w:r>
        <w:t xml:space="preserve">3.3 Each source covers the other’s gaps</w:t>
      </w:r>
    </w:p>
    <w:bookmarkStart w:id="54" w:name="Xb58e258760303588338fbcfcd266382b07be4c0"/>
    <w:p>
      <w:pPr>
        <w:pStyle w:val="Heading3"/>
      </w:pPr>
      <w:r>
        <w:t xml:space="preserve">3.3.1 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2</w:t>
        </w:r>
      </w:hyperlink>
      <w:r>
        <w:t xml:space="preserve">). Within reefs, the cull-trained layers placed their highest ranks along reef margins and outer slopes (</w:t>
      </w:r>
      <w:hyperlink w:anchor="fig-map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overview"/>
          <w:p>
            <w:pPr>
              <w:pStyle w:val="Compact"/>
              <w:jc w:val="center"/>
            </w:pPr>
            <w:r>
              <w:drawing>
                <wp:inline>
                  <wp:extent cx="5727700" cy="3971205"/>
                  <wp:effectExtent b="0" l="0" r="0" t="0"/>
                  <wp:docPr descr="" title="" id="42" name="Picture"/>
                  <a:graphic>
                    <a:graphicData uri="http://schemas.openxmlformats.org/drawingml/2006/picture">
                      <pic:pic>
                        <pic:nvPicPr>
                          <pic:cNvPr descr="../outputs/figures/fig01_gbr_overview.png" id="43" name="Picture"/>
                          <pic:cNvPicPr>
                            <a:picLocks noChangeArrowheads="1" noChangeAspect="1"/>
                          </pic:cNvPicPr>
                        </pic:nvPicPr>
                        <pic:blipFill>
                          <a:blip r:embed="rId41"/>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maps"/>
          <w:p>
            <w:pPr>
              <w:pStyle w:val="Compact"/>
              <w:jc w:val="center"/>
            </w:pPr>
            <w:r>
              <w:drawing>
                <wp:inline>
                  <wp:extent cx="5727700" cy="5116745"/>
                  <wp:effectExtent b="0" l="0" r="0" t="0"/>
                  <wp:docPr descr="" title="" id="46" name="Picture"/>
                  <a:graphic>
                    <a:graphicData uri="http://schemas.openxmlformats.org/drawingml/2006/picture">
                      <pic:pic>
                        <pic:nvPicPr>
                          <pic:cNvPr descr="../outputs/figures/fig02b_four_reef_comparison_imagery.png" id="47" name="Picture"/>
                          <pic:cNvPicPr>
                            <a:picLocks noChangeArrowheads="1" noChangeAspect="1"/>
                          </pic:cNvPicPr>
                        </pic:nvPicPr>
                        <pic:blipFill>
                          <a:blip r:embed="rId45"/>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48"/>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3</w:t>
        </w:r>
      </w:hyperlink>
      <w:r>
        <w:t xml:space="preserve">,</w:t>
      </w:r>
      <w:r>
        <w:t xml:space="preserve"> </w:t>
      </w:r>
      <w:hyperlink w:anchor="fig-manta">
        <w:r>
          <w:rPr>
            <w:rStyle w:val="Hyperlink"/>
          </w:rPr>
          <w:t xml:space="preserve">Figure 4</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tbl-manta"/>
          <w:p>
            <w:pPr>
              <w:jc w:val="center"/>
            </w:pPr>
            <w:pPr>
              <w:jc w:val="start"/>
              <w:spacing w:before="200"/>
              <w:pStyle w:val="ImageCaption"/>
            </w:pPr>
            <w:r>
              <w:t xml:space="preserve">Table 3: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manta"/>
          <w:p>
            <w:pPr>
              <w:pStyle w:val="Compact"/>
              <w:jc w:val="center"/>
            </w:pPr>
            <w:r>
              <w:drawing>
                <wp:inline>
                  <wp:extent cx="5727700" cy="2138341"/>
                  <wp:effectExtent b="0" l="0" r="0" t="0"/>
                  <wp:docPr descr="" title="" id="51" name="Picture"/>
                  <a:graphic>
                    <a:graphicData uri="http://schemas.openxmlformats.org/drawingml/2006/picture">
                      <pic:pic>
                        <pic:nvPicPr>
                          <pic:cNvPr descr="../outputs/figures/fig03_manta_independent_check.png" id="52" name="Picture"/>
                          <pic:cNvPicPr>
                            <a:picLocks noChangeArrowheads="1" noChangeAspect="1"/>
                          </pic:cNvPicPr>
                        </pic:nvPicPr>
                        <pic:blipFill>
                          <a:blip r:embed="rId50"/>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Independent manta tow check of the three habitat layers. Left: within reef-year AUC; right: top-20% lift. Bars are 95% bootstrap intervals over reef-years; dotted lines mark chance.</w:t>
            </w:r>
          </w:p>
          <w:bookmarkEnd w:id="53"/>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54"/>
    <w:bookmarkStart w:id="60" w:name="habitat-alone-as-a-cull-site-ranking"/>
    <w:p>
      <w:pPr>
        <w:pStyle w:val="Heading3"/>
      </w:pPr>
      <w:r>
        <w:t xml:space="preserve">3.3.2 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4</w:t>
        </w:r>
      </w:hyperlink>
      <w:r>
        <w:t xml:space="preserve">,</w:t>
      </w:r>
      <w:r>
        <w:t xml:space="preserve"> </w:t>
      </w:r>
      <w:hyperlink w:anchor="fig-sites">
        <w:r>
          <w:rPr>
            <w:rStyle w:val="Hyperlink"/>
          </w:rPr>
          <w:t xml:space="preserve">Figure 5</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55" w:name="tbl-sites"/>
          <w:p>
            <w:pPr>
              <w:jc w:val="center"/>
            </w:pPr>
            <w:pPr>
              <w:jc w:val="start"/>
              <w:spacing w:before="200"/>
              <w:pStyle w:val="ImageCaption"/>
            </w:pPr>
            <w:r>
              <w:t xml:space="preserve">Table 4: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fig-sites"/>
          <w:p>
            <w:pPr>
              <w:pStyle w:val="Compact"/>
              <w:jc w:val="center"/>
            </w:pPr>
            <w:r>
              <w:drawing>
                <wp:inline>
                  <wp:extent cx="5727700" cy="3742097"/>
                  <wp:effectExtent b="0" l="0" r="0" t="0"/>
                  <wp:docPr descr="" title="" id="57" name="Picture"/>
                  <a:graphic>
                    <a:graphicData uri="http://schemas.openxmlformats.org/drawingml/2006/picture">
                      <pic:pic>
                        <pic:nvPicPr>
                          <pic:cNvPr descr="../outputs/figures/fig14_cull_search_area.png" id="58" name="Picture"/>
                          <pic:cNvPicPr>
                            <a:picLocks noChangeArrowheads="1" noChangeAspect="1"/>
                          </pic:cNvPicPr>
                        </pic:nvPicPr>
                        <pic:blipFill>
                          <a:blip r:embed="rId56"/>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59"/>
        </w:tc>
      </w:tr>
    </w:tbl>
    <w:bookmarkEnd w:id="60"/>
    <w:bookmarkStart w:id="66" w:name="cull-history-strong-where-it-exists"/>
    <w:p>
      <w:pPr>
        <w:pStyle w:val="Heading3"/>
      </w:pPr>
      <w:r>
        <w:t xml:space="preserve">3.3.3 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5</w:t>
        </w:r>
      </w:hyperlink>
      <w:r>
        <w:t xml:space="preserve">,</w:t>
      </w:r>
      <w:r>
        <w:t xml:space="preserve"> </w:t>
      </w:r>
      <w:hyperlink w:anchor="fig-forward">
        <w:r>
          <w:rPr>
            <w:rStyle w:val="Hyperlink"/>
          </w:rPr>
          <w:t xml:space="preserve">Figure 6</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61" w:name="tbl-forward"/>
          <w:p>
            <w:pPr>
              <w:jc w:val="center"/>
            </w:pPr>
            <w:pPr>
              <w:jc w:val="start"/>
              <w:spacing w:before="200"/>
              <w:pStyle w:val="ImageCaption"/>
            </w:pPr>
            <w:r>
              <w:t xml:space="preserve">Table 5: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 w:name="fig-forward"/>
          <w:p>
            <w:pPr>
              <w:pStyle w:val="Compact"/>
              <w:jc w:val="center"/>
            </w:pPr>
            <w:r>
              <w:drawing>
                <wp:inline>
                  <wp:extent cx="5727700" cy="3971205"/>
                  <wp:effectExtent b="0" l="0" r="0" t="0"/>
                  <wp:docPr descr="" title="" id="63" name="Picture"/>
                  <a:graphic>
                    <a:graphicData uri="http://schemas.openxmlformats.org/drawingml/2006/picture">
                      <pic:pic>
                        <pic:nvPicPr>
                          <pic:cNvPr descr="../outputs/figures/fig09_forward_validation.png" id="64" name="Picture"/>
                          <pic:cNvPicPr>
                            <a:picLocks noChangeArrowheads="1" noChangeAspect="1"/>
                          </pic:cNvPicPr>
                        </pic:nvPicPr>
                        <pic:blipFill>
                          <a:blip r:embed="rId62"/>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65"/>
        </w:tc>
      </w:tr>
    </w:tbl>
    <w:bookmarkEnd w:id="66"/>
    <w:bookmarkStart w:id="67" w:name="where-recent-evidence-is-missing"/>
    <w:p>
      <w:pPr>
        <w:pStyle w:val="Heading3"/>
      </w:pPr>
      <w:r>
        <w:t xml:space="preserve">3.3.4 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bookmarkEnd w:id="67"/>
    <w:bookmarkEnd w:id="68"/>
    <w:bookmarkStart w:id="79" w:name="sec-manta"/>
    <w:p>
      <w:pPr>
        <w:pStyle w:val="Heading2"/>
      </w:pPr>
      <w:r>
        <w:t xml:space="preserve">3.4 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6</w:t>
        </w:r>
      </w:hyperlink>
      <w:r>
        <w:t xml:space="preserve">,</w:t>
      </w:r>
      <w:r>
        <w:t xml:space="preserve"> </w:t>
      </w:r>
      <w:hyperlink w:anchor="fig-aggregations">
        <w:r>
          <w:rPr>
            <w:rStyle w:val="Hyperlink"/>
          </w:rPr>
          <w:t xml:space="preserve">Figure 7</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09"/>
        </w:numPr>
      </w:pPr>
      <w:r>
        <w:t xml:space="preserve">40% of tows for systematic thinning (40% with bootstrap assurance);</w:t>
      </w:r>
    </w:p>
    <w:p>
      <w:pPr>
        <w:pStyle w:val="Compact"/>
        <w:numPr>
          <w:ilvl w:val="0"/>
          <w:numId w:val="1009"/>
        </w:numPr>
      </w:pPr>
      <w:r>
        <w:t xml:space="preserve">30% for random thinning;</w:t>
      </w:r>
    </w:p>
    <w:p>
      <w:pPr>
        <w:pStyle w:val="Compact"/>
        <w:numPr>
          <w:ilvl w:val="0"/>
          <w:numId w:val="1009"/>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69" w:name="tbl-thinning"/>
          <w:p>
            <w:pPr>
              <w:jc w:val="center"/>
            </w:pPr>
            <w:pPr>
              <w:jc w:val="start"/>
              <w:spacing w:before="200"/>
              <w:pStyle w:val="ImageCaption"/>
            </w:pPr>
            <w:r>
              <w:t xml:space="preserve">Table 6: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6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aggregations"/>
          <w:p>
            <w:pPr>
              <w:pStyle w:val="Compact"/>
              <w:jc w:val="center"/>
            </w:pPr>
            <w:r>
              <w:drawing>
                <wp:inline>
                  <wp:extent cx="5727700" cy="3512989"/>
                  <wp:effectExtent b="0" l="0" r="0" t="0"/>
                  <wp:docPr descr="" title="" id="71" name="Picture"/>
                  <a:graphic>
                    <a:graphicData uri="http://schemas.openxmlformats.org/drawingml/2006/picture">
                      <pic:pic>
                        <pic:nvPicPr>
                          <pic:cNvPr descr="../outputs/figures/fig13_manta_aggregation_cv.png" id="72" name="Picture"/>
                          <pic:cNvPicPr>
                            <a:picLocks noChangeArrowheads="1" noChangeAspect="1"/>
                          </pic:cNvPicPr>
                        </pic:nvPicPr>
                        <pic:blipFill>
                          <a:blip r:embed="rId70"/>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73"/>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7</w:t>
        </w:r>
      </w:hyperlink>
      <w:r>
        <w:t xml:space="preserve">,</w:t>
      </w:r>
      <w:r>
        <w:t xml:space="preserve"> </w:t>
      </w:r>
      <w:hyperlink w:anchor="fig-manta-model">
        <w:r>
          <w:rPr>
            <w:rStyle w:val="Hyperlink"/>
          </w:rPr>
          <w:t xml:space="preserve">Figure 8</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74" w:name="tbl-mantamodel"/>
          <w:p>
            <w:pPr>
              <w:jc w:val="center"/>
            </w:pPr>
            <w:pPr>
              <w:jc w:val="start"/>
              <w:spacing w:before="200"/>
              <w:pStyle w:val="ImageCaption"/>
            </w:pPr>
            <w:r>
              <w:t xml:space="preserve">Table 7: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7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 w:name="fig-manta-model"/>
          <w:p>
            <w:pPr>
              <w:pStyle w:val="Compact"/>
              <w:jc w:val="center"/>
            </w:pPr>
            <w:r>
              <w:drawing>
                <wp:inline>
                  <wp:extent cx="5727700" cy="2825665"/>
                  <wp:effectExtent b="0" l="0" r="0" t="0"/>
                  <wp:docPr descr="" title="" id="76" name="Picture"/>
                  <a:graphic>
                    <a:graphicData uri="http://schemas.openxmlformats.org/drawingml/2006/picture">
                      <pic:pic>
                        <pic:nvPicPr>
                          <pic:cNvPr descr="../outputs/figures/fig16_manta_response_model.png" id="77" name="Picture"/>
                          <pic:cNvPicPr>
                            <a:picLocks noChangeArrowheads="1" noChangeAspect="1"/>
                          </pic:cNvPicPr>
                        </pic:nvPicPr>
                        <pic:blipFill>
                          <a:blip r:embed="rId75"/>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Cull-trained and manta-trained habitat models on both goals. Left: within reef-year AUC on held-out manta tows. Centre: aggregations found with 60% of tows kept, with random and systematic thinning for reference. Right: low-density cull dives avoided at 90% of problematic dives retained, for the habitat model alone and with last season’s evidence. Bars are 95% bootstrap intervals. The manta model ranks tows best; for cull sites, last season’s evidence brings every habitat model to the same result.</w:t>
            </w:r>
          </w:p>
          <w:bookmarkEnd w:id="78"/>
        </w:tc>
      </w:tr>
    </w:tbl>
    <w:bookmarkEnd w:id="79"/>
    <w:bookmarkStart w:id="85" w:name="Xaf1dcd60e567179655897d58ed543a6948865fb"/>
    <w:p>
      <w:pPr>
        <w:pStyle w:val="Heading2"/>
      </w:pPr>
      <w:r>
        <w:t xml:space="preserve">3.5 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8</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80" w:name="tbl-classes"/>
          <w:p>
            <w:pPr>
              <w:jc w:val="center"/>
            </w:pPr>
            <w:pPr>
              <w:jc w:val="start"/>
              <w:spacing w:before="200"/>
              <w:pStyle w:val="ImageCaption"/>
            </w:pPr>
            <w:r>
              <w:t xml:space="preserve">Table 8: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80"/>
          <w:p/>
        </w:tc>
      </w:tr>
    </w:tbl>
    <w:p>
      <w:pPr>
        <w:pStyle w:val="BodyText"/>
      </w:pPr>
      <w:r>
        <w:t xml:space="preserve">The two sources share the ranking:</w:t>
      </w:r>
    </w:p>
    <w:p>
      <w:pPr>
        <w:pStyle w:val="Compact"/>
        <w:numPr>
          <w:ilvl w:val="0"/>
          <w:numId w:val="1010"/>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0"/>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0"/>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9</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type="pct" w:w="5000"/>
        <w:tblLayout w:type="fixed"/>
        <w:tblLook w:firstRow="0" w:lastRow="0" w:firstColumn="0" w:lastColumn="0" w:noHBand="0" w:noVBand="0" w:val="0000"/>
      </w:tblPr>
      <w:tblGrid>
        <w:gridCol w:w="7920"/>
      </w:tblGrid>
      <w:tr>
        <w:tc>
          <w:tcPr/>
          <w:bookmarkStart w:id="84" w:name="fig-2027"/>
          <w:p>
            <w:pPr>
              <w:pStyle w:val="Compact"/>
              <w:jc w:val="center"/>
            </w:pPr>
            <w:r>
              <w:drawing>
                <wp:inline>
                  <wp:extent cx="5727700" cy="4123944"/>
                  <wp:effectExtent b="0" l="0" r="0" t="0"/>
                  <wp:docPr descr="" title="" id="82" name="Picture"/>
                  <a:graphic>
                    <a:graphicData uri="http://schemas.openxmlformats.org/drawingml/2006/picture">
                      <pic:pic>
                        <pic:nvPicPr>
                          <pic:cNvPr descr="../outputs/figures/fig17_search_2027_exploration.png" id="83" name="Picture"/>
                          <pic:cNvPicPr>
                            <a:picLocks noChangeArrowheads="1" noChangeAspect="1"/>
                          </pic:cNvPicPr>
                        </pic:nvPicPr>
                        <pic:blipFill>
                          <a:blip r:embed="rId81"/>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84"/>
        </w:tc>
      </w:tr>
    </w:tbl>
    <w:bookmarkEnd w:id="85"/>
    <w:bookmarkStart w:id="98" w:name="sec-metacommunity-results"/>
    <w:p>
      <w:pPr>
        <w:pStyle w:val="Heading2"/>
      </w:pPr>
      <w:r>
        <w:t xml:space="preserve">3.6 Metacommunity model: calibration and current limitations</w:t>
      </w:r>
    </w:p>
    <w:bookmarkStart w:id="91" w:name="replicated-candidates"/>
    <w:p>
      <w:pPr>
        <w:pStyle w:val="Heading3"/>
      </w:pPr>
      <w:r>
        <w:t xml:space="preserve">3.6.1 Replicated candidates</w:t>
      </w:r>
    </w:p>
    <w:p>
      <w:pPr>
        <w:pStyle w:val="FirstParagraph"/>
      </w:pPr>
      <w:r>
        <w:t xml:space="preserve">The metacommunity model now reproduced both historical irruption waves on the reefs with two observed waves, although irruption heights and intervening densities remained imperfect (</w:t>
      </w:r>
      <w:hyperlink w:anchor="fig-metacommunity">
        <w:r>
          <w:rPr>
            <w:rStyle w:val="Hyperlink"/>
          </w:rPr>
          <w:t xml:space="preserve">Figure 10</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9</w:t>
        </w:r>
      </w:hyperlink>
      <w:r>
        <w:t xml:space="preserve">). Mean COTS losses overlapped in their variation across seeds. C3a produced a larger first Lizard irruption, 56.1 ± 6.5 adults ha</w:t>
      </w:r>
      <m:oMath>
        <m:sSup>
          <m:e>
            <m:r>
              <m:t>​</m:t>
            </m:r>
          </m:e>
          <m:sup>
            <m:r>
              <m:rPr>
                <m:sty m:val="p"/>
              </m:rPr>
              <m:t>−</m:t>
            </m:r>
            <m:r>
              <m:t>1</m:t>
            </m:r>
          </m:sup>
        </m:sSup>
      </m:oMath>
      <w:r>
        <w:t xml:space="preserve">, compared with 29.0 ± 2.3 for W, and had a lower coral error. However, it left more COTS between irruptions.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86" w:name="tbl-metacommunity"/>
          <w:p>
            <w:pPr>
              <w:jc w:val="center"/>
            </w:pPr>
            <w:pPr>
              <w:jc w:val="start"/>
              <w:spacing w:before="200"/>
              <w:pStyle w:val="ImageCaption"/>
            </w:pPr>
            <w:r>
              <w:t xml:space="preserve">Table 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8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0" w:name="fig-metacommunity"/>
          <w:p>
            <w:pPr>
              <w:pStyle w:val="Compact"/>
              <w:jc w:val="center"/>
            </w:pPr>
            <w:r>
              <w:drawing>
                <wp:inline>
                  <wp:extent cx="5727700" cy="4123944"/>
                  <wp:effectExtent b="0" l="0" r="0" t="0"/>
                  <wp:docPr descr="" title="" id="88" name="Picture"/>
                  <a:graphic>
                    <a:graphicData uri="http://schemas.openxmlformats.org/drawingml/2006/picture">
                      <pic:pic>
                        <pic:nvPicPr>
                          <pic:cNvPr descr="../outputs/figures/fig18_metacommunity_candidates.png" id="89" name="Picture"/>
                          <pic:cNvPicPr>
                            <a:picLocks noChangeArrowheads="1" noChangeAspect="1"/>
                          </pic:cNvPicPr>
                        </pic:nvPicPr>
                        <pic:blipFill>
                          <a:blip r:embed="rId87"/>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90"/>
        </w:tc>
      </w:tr>
    </w:tbl>
    <w:bookmarkEnd w:id="91"/>
    <w:bookmarkStart w:id="92" w:name="X56736ed03ce88720409f947c3ec5594937ff621"/>
    <w:p>
      <w:pPr>
        <w:pStyle w:val="Heading3"/>
      </w:pPr>
      <w:r>
        <w:t xml:space="preserve">3.6.2 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92"/>
    <w:bookmarkStart w:id="97" w:name="extension-to-2026"/>
    <w:p>
      <w:pPr>
        <w:pStyle w:val="Heading3"/>
      </w:pPr>
      <w:r>
        <w:t xml:space="preserve">3.6.3 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11</w:t>
        </w:r>
      </w:hyperlink>
      <w:r>
        <w:t xml:space="preserve">). They crossed 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96" w:name="fig-metacommunity-2026"/>
          <w:p>
            <w:pPr>
              <w:pStyle w:val="Compact"/>
              <w:jc w:val="center"/>
            </w:pPr>
            <w:r>
              <w:drawing>
                <wp:inline>
                  <wp:extent cx="5727700" cy="5956808"/>
                  <wp:effectExtent b="0" l="0" r="0" t="0"/>
                  <wp:docPr descr="" title="" id="94" name="Picture"/>
                  <a:graphic>
                    <a:graphicData uri="http://schemas.openxmlformats.org/drawingml/2006/picture">
                      <pic:pic>
                        <pic:nvPicPr>
                          <pic:cNvPr descr="../outputs/figures/fig19_metacommunity_2026_diagnostic.png" id="95" name="Picture"/>
                          <pic:cNvPicPr>
                            <a:picLocks noChangeArrowheads="1" noChangeAspect="1"/>
                          </pic:cNvPicPr>
                        </pic:nvPicPr>
                        <pic:blipFill>
                          <a:blip r:embed="rId93"/>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96"/>
        </w:tc>
      </w:tr>
    </w:tbl>
    <w:p>
      <w:pPr>
        <w:pStyle w:val="BodyText"/>
      </w:pPr>
      <w:r>
        <w:t xml:space="preserve">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bookmarkEnd w:id="97"/>
    <w:bookmarkEnd w:id="98"/>
    <w:bookmarkEnd w:id="99"/>
    <w:bookmarkStart w:id="105" w:name="implications-for-management"/>
    <w:p>
      <w:pPr>
        <w:pStyle w:val="Heading1"/>
      </w:pPr>
      <w:r>
        <w:t xml:space="preserve">4. Implications for management</w:t>
      </w:r>
    </w:p>
    <w:bookmarkStart w:id="100"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bookmarkEnd w:id="100"/>
    <w:bookmarkStart w:id="101"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bookmarkEnd w:id="101"/>
    <w:bookmarkStart w:id="102" w:name="X35258626f5ae2d2ff52ed9b174e3ca7bb32dffa"/>
    <w:p>
      <w:pPr>
        <w:pStyle w:val="Heading2"/>
      </w:pPr>
      <w:r>
        <w:t xml:space="preserve">4.3 Assessing the culling program from 2012 to the present and beyond</w:t>
      </w:r>
    </w:p>
    <w:p>
      <w:pPr>
        <w:pStyle w:val="FirstParagraph"/>
      </w:pPr>
      <w:r>
        <w:t xml:space="preserve">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pPr>
        <w:pStyle w:val="BodyText"/>
      </w:pPr>
      <w:r>
        <w:t xml:space="preserve">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pPr>
        <w:pStyle w:val="BodyText"/>
      </w:pPr>
      <w:r>
        <w:t xml:space="preserve">Larvae arriving from reefs outside the Lizard Island model domain also affect this comparison. Their supply is currently informed by the GBR-wide irruption predictions of</w:t>
      </w:r>
      <w:r>
        <w:t xml:space="preserve"> </w:t>
      </w:r>
      <w:r>
        <w:t xml:space="preserve">Stewart et al. (2026)</w:t>
      </w:r>
      <w:r>
        <w:t xml:space="preserve">.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bookmarkEnd w:id="102"/>
    <w:bookmarkStart w:id="103" w:name="Xb39c15292b69b3d2f8a89f499d855851bf0aceb"/>
    <w:p>
      <w:pPr>
        <w:pStyle w:val="Heading2"/>
      </w:pPr>
      <w:r>
        <w:t xml:space="preserve">4.4 Projecting suppression of the fifth primary irruption wave</w:t>
      </w:r>
    </w:p>
    <w:p>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w:t>
      </w:r>
      <w:r>
        <w:t xml:space="preserve">(Morello et al., 2014; Matthews et al., 2020b; Condie et al., 2021; Bozec et al., 2022)</w:t>
      </w:r>
      <w:r>
        <w:t xml:space="preserve">.</w:t>
      </w:r>
      <w:r>
        <w:t xml:space="preserve"> </w:t>
      </w:r>
    </w:p>
    <w:p>
      <w:pPr>
        <w:pStyle w:val="BodyText"/>
      </w:pPr>
      <w:r>
        <w:t xml:space="preserve">The scenario comparisons will focus on what increased effort from now can achieve in suppressing the primary irruption. This question differs from protecting coral at individual reefs after secondary irruptions are established, as discussed by</w:t>
      </w:r>
      <w:r>
        <w:t xml:space="preserve"> </w:t>
      </w:r>
      <w:r>
        <w:t xml:space="preserve">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pPr>
        <w:pStyle w:val="BodyText"/>
      </w:pPr>
      <w:r>
        <w:t xml:space="preserve">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pPr>
        <w:pStyle w:val="BodyText"/>
      </w:pPr>
      <w:r>
        <w:t xml:space="preserve">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pPr>
        <w:pStyle w:val="BodyText"/>
      </w:pPr>
      <w:r>
        <w:t xml:space="preserve">Future scenarios must also represent what crews can achieve. The current implementation applies prescribed historical catches and does not predict how search effort and COTS density determine removals. Starting and stopping rules require that relationship to be represented before the scenarios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[TO CONFIRM: projection horizon, vessel budgets, intervention rules and climate scenarios agreed with program partners.]</w:t>
      </w:r>
    </w:p>
    <w:bookmarkEnd w:id="103"/>
    <w:bookmarkStart w:id="104" w:name="monitoring-operational-performance"/>
    <w:p>
      <w:pPr>
        <w:pStyle w:val="Heading2"/>
      </w:pPr>
      <w:r>
        <w:t xml:space="preserve">4.5 Monitoring operational performance</w:t>
      </w:r>
    </w:p>
    <w:p>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w:t>
      </w:r>
      <w:r>
        <w:t xml:space="preserve"> </w:t>
      </w:r>
      <w:hyperlink w:anchor="tbl-classes">
        <w:r>
          <w:rPr>
            <w:rStyle w:val="Hyperlink"/>
          </w:rPr>
          <w:t xml:space="preserve">Table 8</w:t>
        </w:r>
      </w:hyperlink>
      <w:r>
        <w:t xml:space="preserve">. The existing expectations use a threshold of at least 0.02 COTS per minute of bottom time; the trial’s decision criteria below require a separate evaluation using dives above 0.04.</w:t>
      </w:r>
    </w:p>
    <w:p>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are proposed adoption criteria, not gains already demonstrated by the current validation. [TO CONFIRM: the numerical tolerance for missed dives above 0.04 and whether reductions are measured per visit or over the full season.]</w:t>
      </w:r>
      <w:r>
        <w:t xml:space="preserve"> </w:t>
      </w:r>
    </w:p>
    <w:p>
      <w:pPr>
        <w:pStyle w:val="BodyText"/>
      </w:pPr>
      <w:r>
        <w:t xml:space="preserve">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pPr>
        <w:pStyle w:val="BodyText"/>
      </w:pPr>
      <w:r>
        <w:t xml:space="preserve">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104"/>
    <w:bookmarkEnd w:id="105"/>
    <w:bookmarkStart w:id="106"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and diagnostic comparisons within one northern reef cluster. Replicated runs improve the assessment of stochastic variation but do not establish transfer to new reefs or years. Historical peak matching and checks of between-irruption densities depend on assumptions about detection. Recent cull and SALAD observations helped construct corrected irruption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106"/>
    <w:bookmarkStart w:id="107" w:name="recommendations-and-next-steps"/>
    <w:p>
      <w:pPr>
        <w:pStyle w:val="Heading1"/>
      </w:pPr>
      <w:r>
        <w:t xml:space="preserve">6. Recommendations and next steps</w:t>
      </w:r>
    </w:p>
    <w:p>
      <w:pPr>
        <w:pStyle w:val="Compact"/>
        <w:numPr>
          <w:ilvl w:val="0"/>
          <w:numId w:val="1011"/>
        </w:numPr>
      </w:pPr>
      <w:r>
        <w:t xml:space="preserve">Trial the 2027 cull-site ranking with crews, recording the proposed priority, actual search effort, departures from the ranking and dive outcomes.</w:t>
      </w:r>
    </w:p>
    <w:p>
      <w:pPr>
        <w:pStyle w:val="Compact"/>
        <w:numPr>
          <w:ilvl w:val="0"/>
          <w:numId w:val="1011"/>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11"/>
        </w:numPr>
      </w:pPr>
      <w:r>
        <w:t xml:space="preserve">Trial a small number of exploration areas per reef visit and record outcomes, including nil results, so that the evidence base can expand beyond familiar sites.</w:t>
      </w:r>
    </w:p>
    <w:p>
      <w:pPr>
        <w:pStyle w:val="Compact"/>
        <w:numPr>
          <w:ilvl w:val="0"/>
          <w:numId w:val="1011"/>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11"/>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11"/>
        </w:numPr>
      </w:pPr>
      <w:r>
        <w:t xml:space="preserve">Obtain survey-effort information for additional observation sources, including ReefScan, to support independent assessment beyond places selected for cull dives.</w:t>
      </w:r>
    </w:p>
    <w:p>
      <w:pPr>
        <w:pStyle w:val="Compact"/>
        <w:numPr>
          <w:ilvl w:val="0"/>
          <w:numId w:val="1011"/>
        </w:numPr>
      </w:pPr>
      <w:r>
        <w:t xml:space="preserve">Resolve the recent COTS population mismatch and complete independent validation of the metacommunity model before estimating the program’s impact from 2012 to the present.</w:t>
      </w:r>
    </w:p>
    <w:p>
      <w:pPr>
        <w:pStyle w:val="Compact"/>
        <w:numPr>
          <w:ilvl w:val="0"/>
          <w:numId w:val="1011"/>
        </w:numPr>
      </w:pPr>
      <w:r>
        <w:t xml:space="preserve">Develop paired historical simulations with and without program removals, reporting effects on COTS populations, larval export and coral trajectories, with the limits imposed by the external boundary stated explicitly.</w:t>
      </w:r>
    </w:p>
    <w:p>
      <w:pPr>
        <w:pStyle w:val="Compact"/>
        <w:numPr>
          <w:ilvl w:val="0"/>
          <w:numId w:val="1011"/>
        </w:numPr>
      </w:pPr>
      <w:r>
        <w:t xml:space="preserve">Develop projections of fifth-wave suppression under agreed effort budgets, climate conditions and starting and stopping rules. Report local and downstream coral consequences across the plausible model configurations.</w:t>
      </w:r>
    </w:p>
    <w:p>
      <w:pPr>
        <w:pStyle w:val="Compact"/>
        <w:numPr>
          <w:ilvl w:val="0"/>
          <w:numId w:val="1011"/>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107"/>
    <w:bookmarkStart w:id="108"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108"/>
    <w:bookmarkStart w:id="158" w:name="references"/>
    <w:p>
      <w:pPr>
        <w:pStyle w:val="Heading1"/>
      </w:pPr>
      <w:r>
        <w:t xml:space="preserve">References</w:t>
      </w:r>
    </w:p>
    <w:bookmarkStart w:id="157" w:name="refs"/>
    <w:bookmarkStart w:id="110"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109">
        <w:r>
          <w:rPr>
            <w:rStyle w:val="Hyperlink"/>
          </w:rPr>
          <w:t xml:space="preserve">10.1002/ecm.1494</w:t>
        </w:r>
      </w:hyperlink>
    </w:p>
    <w:bookmarkEnd w:id="110"/>
    <w:bookmarkStart w:id="112" w:name="ref-chandler2023densities"/>
    <w:p>
      <w:pPr>
        <w:pStyle w:val="Bibliography"/>
      </w:pPr>
      <w:r>
        <w:t xml:space="preserve">Chandler, J. F., Burn, D., Caballes, C. F., Doll, P. C., Kwong, S. L. T., Lang, B. J., et al. (2023). Increasing densities of pacific crown-of-thorns starfish (acanthaster cf. Solaris) at lizard island, northern great barrier reef, resolved using a novel survey method.</w:t>
      </w:r>
      <w:r>
        <w:t xml:space="preserve"> </w:t>
      </w:r>
      <w:r>
        <w:rPr>
          <w:i/>
          <w:iCs/>
        </w:rPr>
        <w:t xml:space="preserve">Scientific Reports</w:t>
      </w:r>
      <w:r>
        <w:t xml:space="preserve"> </w:t>
      </w:r>
      <w:r>
        <w:t xml:space="preserve">13, 19306. doi:</w:t>
      </w:r>
      <w:r>
        <w:t xml:space="preserve"> </w:t>
      </w:r>
      <w:hyperlink r:id="rId111">
        <w:r>
          <w:rPr>
            <w:rStyle w:val="Hyperlink"/>
          </w:rPr>
          <w:t xml:space="preserve">10.1038/s41598-023-46749-x</w:t>
        </w:r>
      </w:hyperlink>
    </w:p>
    <w:bookmarkEnd w:id="112"/>
    <w:bookmarkStart w:id="114"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113">
        <w:r>
          <w:rPr>
            <w:rStyle w:val="Hyperlink"/>
          </w:rPr>
          <w:t xml:space="preserve">10.1145/2939672.2939785</w:t>
        </w:r>
      </w:hyperlink>
    </w:p>
    <w:bookmarkEnd w:id="114"/>
    <w:bookmarkStart w:id="116"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115">
        <w:r>
          <w:rPr>
            <w:rStyle w:val="Hyperlink"/>
          </w:rPr>
          <w:t xml:space="preserve">10.1098/rsos.201296</w:t>
        </w:r>
      </w:hyperlink>
    </w:p>
    <w:bookmarkEnd w:id="116"/>
    <w:bookmarkStart w:id="118"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117">
        <w:r>
          <w:rPr>
            <w:rStyle w:val="Hyperlink"/>
          </w:rPr>
          <w:t xml:space="preserve">10.64898/2026.04.13.718315</w:t>
        </w:r>
      </w:hyperlink>
    </w:p>
    <w:bookmarkEnd w:id="118"/>
    <w:bookmarkStart w:id="120"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119">
        <w:r>
          <w:rPr>
            <w:rStyle w:val="Hyperlink"/>
          </w:rPr>
          <w:t xml:space="preserve">10.1073/pnas.1208909109</w:t>
        </w:r>
      </w:hyperlink>
    </w:p>
    <w:bookmarkEnd w:id="120"/>
    <w:bookmarkStart w:id="122" w:name="ref-fletcher2020strategy"/>
    <w:p>
      <w:pPr>
        <w:pStyle w:val="Bibliography"/>
      </w:pPr>
      <w:r>
        <w:t xml:space="preserve">Fletcher, C. S., Bonin, M. C., and Westcott, D. A. (2020). An ecologically-based operational strategy for COTS control: Integrated decision making from the site to the regional scale. Cairns: Reef; Rainforest Research Centre Limited. Available at:</w:t>
      </w:r>
      <w:r>
        <w:t xml:space="preserve"> </w:t>
      </w:r>
      <w:hyperlink r:id="rId121">
        <w:r>
          <w:rPr>
            <w:rStyle w:val="Hyperlink"/>
          </w:rPr>
          <w:t xml:space="preserve">https://nesptropical.edu.au/wp-content/uploads/2020/04/NESP-TWQ-Project-3.1.1-Technical-Report-2.pdf</w:t>
        </w:r>
      </w:hyperlink>
    </w:p>
    <w:bookmarkEnd w:id="122"/>
    <w:bookmarkStart w:id="124" w:name="ref-gbrmpadashboard2026"/>
    <w:p>
      <w:pPr>
        <w:pStyle w:val="Bibliography"/>
      </w:pPr>
      <w:r>
        <w:t xml:space="preserve">Great Barrier Reef Marine Park Authority (2026). Crown-of-thorns starfish control program dashboard. Available at:</w:t>
      </w:r>
      <w:r>
        <w:t xml:space="preserve"> </w:t>
      </w:r>
      <w:hyperlink r:id="rId123">
        <w:r>
          <w:rPr>
            <w:rStyle w:val="Hyperlink"/>
          </w:rPr>
          <w:t xml:space="preserve">https://www.gbrmpa.gov.au/our-work/programs-and-projects/crown-thorns-starfish-management/crown-thorns-starfish-control-program-dashboard</w:t>
        </w:r>
      </w:hyperlink>
      <w:r>
        <w:t xml:space="preserve"> </w:t>
      </w:r>
      <w:r>
        <w:t xml:space="preserve">(Accessed October 16, 2026).</w:t>
      </w:r>
    </w:p>
    <w:bookmarkEnd w:id="124"/>
    <w:bookmarkStart w:id="126"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125">
        <w:r>
          <w:rPr>
            <w:rStyle w:val="Hyperlink"/>
          </w:rPr>
          <w:t xml:space="preserve">10.1002/ece3.71292</w:t>
        </w:r>
      </w:hyperlink>
    </w:p>
    <w:bookmarkEnd w:id="126"/>
    <w:bookmarkStart w:id="128" w:name="ref-matthews2025intelligence"/>
    <w:p>
      <w:pPr>
        <w:pStyle w:val="Bibliography"/>
      </w:pPr>
      <w:r>
        <w:t xml:space="preserve">Matthews, S. A., Beeden, R., Bonin, M. C., Mellin, C., Pratchett, M. S., Ryan, I., et al. (2025). From business intelligence to conservation intelligence: Operationalising adaptive pest control to protect the resilience of the great barrier reef. doi:</w:t>
      </w:r>
      <w:r>
        <w:t xml:space="preserve"> </w:t>
      </w:r>
      <w:hyperlink r:id="rId127">
        <w:r>
          <w:rPr>
            <w:rStyle w:val="Hyperlink"/>
          </w:rPr>
          <w:t xml:space="preserve">10.32942/X2HD3J</w:t>
        </w:r>
      </w:hyperlink>
    </w:p>
    <w:bookmarkEnd w:id="128"/>
    <w:bookmarkStart w:id="130"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129">
        <w:r>
          <w:rPr>
            <w:rStyle w:val="Hyperlink"/>
          </w:rPr>
          <w:t xml:space="preserve">10.1016/bs.amb.2020.08.007</w:t>
        </w:r>
      </w:hyperlink>
    </w:p>
    <w:bookmarkEnd w:id="130"/>
    <w:bookmarkStart w:id="132"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131">
        <w:r>
          <w:rPr>
            <w:rStyle w:val="Hyperlink"/>
          </w:rPr>
          <w:t xml:space="preserve">10.1016/bs.amb.2020.09.001</w:t>
        </w:r>
      </w:hyperlink>
    </w:p>
    <w:bookmarkEnd w:id="132"/>
    <w:bookmarkStart w:id="134" w:name="ref-matthews2024protecting"/>
    <w:p>
      <w:pPr>
        <w:pStyle w:val="Bibliography"/>
      </w:pPr>
      <w:r>
        <w:t xml:space="preserve">Matthews, S. A., Williamson, D. H., Beeden, R., Emslie, M. J., Abom, R. T. M., Beard, D., et al. (2024). Protecting</w:t>
      </w:r>
      <w:r>
        <w:t xml:space="preserve"> </w:t>
      </w:r>
      <w:r>
        <w:t xml:space="preserve">Great Barrier Reef</w:t>
      </w:r>
      <w:r>
        <w:t xml:space="preserve"> </w:t>
      </w:r>
      <w:r>
        <w:t xml:space="preserve">resilience through effective management of crown-of-thorns starfish outbreaks.</w:t>
      </w:r>
      <w:r>
        <w:t xml:space="preserve"> </w:t>
      </w:r>
      <w:r>
        <w:rPr>
          <w:i/>
          <w:iCs/>
        </w:rPr>
        <w:t xml:space="preserve">PLOS ONE</w:t>
      </w:r>
      <w:r>
        <w:t xml:space="preserve"> </w:t>
      </w:r>
      <w:r>
        <w:t xml:space="preserve">19, e0298073. doi:</w:t>
      </w:r>
      <w:r>
        <w:t xml:space="preserve"> </w:t>
      </w:r>
      <w:hyperlink r:id="rId133">
        <w:r>
          <w:rPr>
            <w:rStyle w:val="Hyperlink"/>
          </w:rPr>
          <w:t xml:space="preserve">10.1371/journal.pone.0298073</w:t>
        </w:r>
      </w:hyperlink>
    </w:p>
    <w:bookmarkEnd w:id="134"/>
    <w:bookmarkStart w:id="136"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135">
        <w:r>
          <w:rPr>
            <w:rStyle w:val="Hyperlink"/>
          </w:rPr>
          <w:t xml:space="preserve">10.3354/meps10858</w:t>
        </w:r>
      </w:hyperlink>
    </w:p>
    <w:bookmarkEnd w:id="136"/>
    <w:bookmarkStart w:id="138" w:name="ref-adriamethods2026"/>
    <w:p>
      <w:pPr>
        <w:pStyle w:val="Bibliography"/>
      </w:pPr>
      <w:r>
        <w:t xml:space="preserve">open-AIMS (2026a).</w:t>
      </w:r>
      <w:r>
        <w:t xml:space="preserve"> </w:t>
      </w:r>
      <w:r>
        <w:t xml:space="preserve">ADRIA.jl</w:t>
      </w:r>
      <w:r>
        <w:t xml:space="preserve">: COTS calibration and historical culling workflow. Available at:</w:t>
      </w:r>
      <w:r>
        <w:t xml:space="preserve"> </w:t>
      </w:r>
      <w:hyperlink r:id="rId137">
        <w:r>
          <w:rPr>
            <w:rStyle w:val="Hyperlink"/>
          </w:rPr>
          <w:t xml:space="preserve">https://github.com/open-AIMS/ADRIA.jl</w:t>
        </w:r>
      </w:hyperlink>
    </w:p>
    <w:bookmarkEnd w:id="138"/>
    <w:bookmarkStart w:id="140" w:name="ref-cotsmodmethods2026"/>
    <w:p>
      <w:pPr>
        <w:pStyle w:val="Bibliography"/>
      </w:pPr>
      <w:r>
        <w:t xml:space="preserve">open-AIMS (2026b).</w:t>
      </w:r>
      <w:r>
        <w:t xml:space="preserve"> </w:t>
      </w:r>
      <w:r>
        <w:t xml:space="preserve">COTSMod.jl</w:t>
      </w:r>
      <w:r>
        <w:t xml:space="preserve">: Population dynamics and observed cull removals. Available at:</w:t>
      </w:r>
      <w:r>
        <w:t xml:space="preserve"> </w:t>
      </w:r>
      <w:hyperlink r:id="rId139">
        <w:r>
          <w:rPr>
            <w:rStyle w:val="Hyperlink"/>
          </w:rPr>
          <w:t xml:space="preserve">https://github.com/open-AIMS/COTSMod.jl</w:t>
        </w:r>
      </w:hyperlink>
    </w:p>
    <w:bookmarkEnd w:id="140"/>
    <w:bookmarkStart w:id="142"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41">
        <w:r>
          <w:rPr>
            <w:rStyle w:val="Hyperlink"/>
          </w:rPr>
          <w:t xml:space="preserve">10.1111/ele.12757</w:t>
        </w:r>
      </w:hyperlink>
    </w:p>
    <w:bookmarkEnd w:id="142"/>
    <w:bookmarkStart w:id="144" w:name="ref-plaganyi2020targets"/>
    <w:p>
      <w:pPr>
        <w:pStyle w:val="Bibliography"/>
      </w:pPr>
      <w:r>
        <w:t xml:space="preserve">Plagányi, É. E., Babcock, R. C., Rogers, J., Bonin, M., and Morello, E. B. (2020). Ecological analyses to inform management targets for the culling of crown-of-thorns starfish to prevent coral decline.</w:t>
      </w:r>
      <w:r>
        <w:t xml:space="preserve"> </w:t>
      </w:r>
      <w:r>
        <w:rPr>
          <w:i/>
          <w:iCs/>
        </w:rPr>
        <w:t xml:space="preserve">Coral Reefs</w:t>
      </w:r>
      <w:r>
        <w:t xml:space="preserve"> </w:t>
      </w:r>
      <w:r>
        <w:t xml:space="preserve">39, 1483–1499. doi:</w:t>
      </w:r>
      <w:r>
        <w:t xml:space="preserve"> </w:t>
      </w:r>
      <w:hyperlink r:id="rId143">
        <w:r>
          <w:rPr>
            <w:rStyle w:val="Hyperlink"/>
          </w:rPr>
          <w:t xml:space="preserve">10.1007/s00338-020-01981-z</w:t>
        </w:r>
      </w:hyperlink>
    </w:p>
    <w:bookmarkEnd w:id="144"/>
    <w:bookmarkStart w:id="146"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45">
        <w:r>
          <w:rPr>
            <w:rStyle w:val="Hyperlink"/>
          </w:rPr>
          <w:t xml:space="preserve">10.3390/d9040041</w:t>
        </w:r>
      </w:hyperlink>
    </w:p>
    <w:bookmarkEnd w:id="146"/>
    <w:bookmarkStart w:id="148"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47">
        <w:r>
          <w:rPr>
            <w:rStyle w:val="Hyperlink"/>
          </w:rPr>
          <w:t xml:space="preserve">10.1111/ecog.02881</w:t>
        </w:r>
      </w:hyperlink>
    </w:p>
    <w:bookmarkEnd w:id="148"/>
    <w:bookmarkStart w:id="150"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49">
        <w:r>
          <w:rPr>
            <w:rStyle w:val="Hyperlink"/>
          </w:rPr>
          <w:t xml:space="preserve">10.32942/X2J391</w:t>
        </w:r>
      </w:hyperlink>
    </w:p>
    <w:bookmarkEnd w:id="150"/>
    <w:bookmarkStart w:id="152"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51">
        <w:r>
          <w:rPr>
            <w:rStyle w:val="Hyperlink"/>
          </w:rPr>
          <w:t xml:space="preserve">10.1111/2041-210X.13345</w:t>
        </w:r>
      </w:hyperlink>
    </w:p>
    <w:bookmarkEnd w:id="152"/>
    <w:bookmarkStart w:id="154" w:name="ref-uthicke2024edna"/>
    <w:p>
      <w:pPr>
        <w:pStyle w:val="Bibliography"/>
      </w:pPr>
      <w:r>
        <w:t xml:space="preserve">Uthicke, S., Doyle, J. R., Gomez Cabrera, M., Patel, F., McLatchie, M. J., Doll, P. C., et al. (2024).</w:t>
      </w:r>
      <w:r>
        <w:t xml:space="preserve"> </w:t>
      </w:r>
      <w:r>
        <w:t xml:space="preserve">eDNA</w:t>
      </w:r>
      <w:r>
        <w:t xml:space="preserve"> </w:t>
      </w:r>
      <w:r>
        <w:t xml:space="preserve">monitoring detects new outbreak wave of corallivorous seastar (acanthaster cf. Solaris) at lizard island, great barrier reef.</w:t>
      </w:r>
      <w:r>
        <w:t xml:space="preserve"> </w:t>
      </w:r>
      <w:r>
        <w:rPr>
          <w:i/>
          <w:iCs/>
        </w:rPr>
        <w:t xml:space="preserve">Coral Reefs</w:t>
      </w:r>
      <w:r>
        <w:t xml:space="preserve"> </w:t>
      </w:r>
      <w:r>
        <w:t xml:space="preserve">43, 857–866. doi:</w:t>
      </w:r>
      <w:r>
        <w:t xml:space="preserve"> </w:t>
      </w:r>
      <w:hyperlink r:id="rId153">
        <w:r>
          <w:rPr>
            <w:rStyle w:val="Hyperlink"/>
          </w:rPr>
          <w:t xml:space="preserve">10.1007/s00338-024-02506-8</w:t>
        </w:r>
      </w:hyperlink>
    </w:p>
    <w:bookmarkEnd w:id="154"/>
    <w:bookmarkStart w:id="156"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55">
        <w:r>
          <w:rPr>
            <w:rStyle w:val="Hyperlink"/>
          </w:rPr>
          <w:t xml:space="preserve">10.1111/ecog.04960</w:t>
        </w:r>
      </w:hyperlink>
    </w:p>
    <w:bookmarkEnd w:id="156"/>
    <w:bookmarkEnd w:id="157"/>
    <w:p>
      <w:r>
        <w:br w:type="page"/>
      </w:r>
    </w:p>
    <w:bookmarkEnd w:id="158"/>
    <w:bookmarkStart w:id="202" w:name="appendices"/>
    <w:p>
      <w:pPr>
        <w:pStyle w:val="Heading1"/>
      </w:pPr>
      <w:r>
        <w:t xml:space="preserve">Appendices</w:t>
      </w:r>
    </w:p>
    <w:bookmarkStart w:id="160"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59" w:name="tbl-layers"/>
          <w:p>
            <w:pPr>
              <w:jc w:val="center"/>
            </w:pPr>
            <w:pPr>
              <w:jc w:val="start"/>
              <w:spacing w:before="200"/>
              <w:pStyle w:val="ImageCaption"/>
            </w:pPr>
            <w:r>
              <w:t xml:space="preserve">Table 10: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59"/>
          <w:p/>
        </w:tc>
      </w:tr>
    </w:tbl>
    <w:bookmarkEnd w:id="160"/>
    <w:bookmarkStart w:id="166"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61" w:name="tbl-predictors"/>
          <w:p>
            <w:pPr>
              <w:jc w:val="center"/>
            </w:pPr>
            <w:pPr>
              <w:jc w:val="start"/>
              <w:spacing w:before="200"/>
              <w:pStyle w:val="ImageCaption"/>
            </w:pPr>
            <w:r>
              <w:t xml:space="preserve">Table 11: Predictor codes. [TO CONFIRM: full names of the terrain codes, the coral taxa behind AhyaD, Aspat and Aten, and sources for each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5" w:name="fig-importance"/>
          <w:p>
            <w:pPr>
              <w:pStyle w:val="Compact"/>
              <w:jc w:val="center"/>
            </w:pPr>
            <w:r>
              <w:drawing>
                <wp:inline>
                  <wp:extent cx="5727700" cy="3818466"/>
                  <wp:effectExtent b="0" l="0" r="0" t="0"/>
                  <wp:docPr descr="" title="" id="163" name="Picture"/>
                  <a:graphic>
                    <a:graphicData uri="http://schemas.openxmlformats.org/drawingml/2006/picture">
                      <pic:pic>
                        <pic:nvPicPr>
                          <pic:cNvPr descr="../outputs/figures/fig06_legacy_variable_importance.png" id="164" name="Picture"/>
                          <pic:cNvPicPr>
                            <a:picLocks noChangeArrowheads="1" noChangeAspect="1"/>
                          </pic:cNvPicPr>
                        </pic:nvPicPr>
                        <pic:blipFill>
                          <a:blip r:embed="rId162"/>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65"/>
        </w:tc>
      </w:tr>
    </w:tbl>
    <w:bookmarkEnd w:id="166"/>
    <w:bookmarkStart w:id="176"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67" w:name="tbl-hmsc"/>
          <w:p>
            <w:pPr>
              <w:jc w:val="center"/>
            </w:pPr>
            <w:pPr>
              <w:jc w:val="start"/>
              <w:spacing w:before="200"/>
              <w:pStyle w:val="ImageCaption"/>
            </w:pPr>
            <w:r>
              <w:t xml:space="preserve">Table 12: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6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1" w:name="fig-hmsc-effects"/>
          <w:p>
            <w:pPr>
              <w:pStyle w:val="Compact"/>
              <w:jc w:val="center"/>
            </w:pPr>
            <w:r>
              <w:drawing>
                <wp:inline>
                  <wp:extent cx="5727700" cy="4582159"/>
                  <wp:effectExtent b="0" l="0" r="0" t="0"/>
                  <wp:docPr descr="" title="" id="169" name="Picture"/>
                  <a:graphic>
                    <a:graphicData uri="http://schemas.openxmlformats.org/drawingml/2006/picture">
                      <pic:pic>
                        <pic:nvPicPr>
                          <pic:cNvPr descr="../outputs/figures/fig04_hmsc_target_effects.png" id="170" name="Picture"/>
                          <pic:cNvPicPr>
                            <a:picLocks noChangeArrowheads="1" noChangeAspect="1"/>
                          </pic:cNvPicPr>
                        </pic:nvPicPr>
                        <pic:blipFill>
                          <a:blip r:embed="rId168"/>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HMSC habitat effects on the mapped cull target, with posterior uncertainty.</w:t>
            </w:r>
          </w:p>
          <w:bookmarkEnd w:id="1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5" w:name="fig-hmsc-coef"/>
          <w:p>
            <w:pPr>
              <w:pStyle w:val="Compact"/>
              <w:jc w:val="center"/>
            </w:pPr>
            <w:r>
              <w:drawing>
                <wp:inline>
                  <wp:extent cx="5727700" cy="4734898"/>
                  <wp:effectExtent b="0" l="0" r="0" t="0"/>
                  <wp:docPr descr="" title="" id="173" name="Picture"/>
                  <a:graphic>
                    <a:graphicData uri="http://schemas.openxmlformats.org/drawingml/2006/picture">
                      <pic:pic>
                        <pic:nvPicPr>
                          <pic:cNvPr descr="../outputs/figures/fig05_hmsc_joint_coefficients.png" id="174" name="Picture"/>
                          <pic:cNvPicPr>
                            <a:picLocks noChangeArrowheads="1" noChangeAspect="1"/>
                          </pic:cNvPicPr>
                        </pic:nvPicPr>
                        <pic:blipFill>
                          <a:blip r:embed="rId172"/>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HMSC coefficients across all 12 jointly fitted responses (cull, SALAD and RHIS evidence).</w:t>
            </w:r>
          </w:p>
          <w:bookmarkEnd w:id="175"/>
        </w:tc>
      </w:tr>
    </w:tbl>
    <w:bookmarkEnd w:id="176"/>
    <w:bookmarkStart w:id="198"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80" w:name="fig-agreement"/>
          <w:p>
            <w:pPr>
              <w:pStyle w:val="Compact"/>
              <w:jc w:val="center"/>
            </w:pPr>
            <w:r>
              <w:drawing>
                <wp:inline>
                  <wp:extent cx="5727700" cy="2749295"/>
                  <wp:effectExtent b="0" l="0" r="0" t="0"/>
                  <wp:docPr descr="" title="" id="178" name="Picture"/>
                  <a:graphic>
                    <a:graphicData uri="http://schemas.openxmlformats.org/drawingml/2006/picture">
                      <pic:pic>
                        <pic:nvPicPr>
                          <pic:cNvPr descr="../outputs/figures/fig07_layer_agreement.png" id="179" name="Picture"/>
                          <pic:cNvPicPr>
                            <a:picLocks noChangeArrowheads="1" noChangeAspect="1"/>
                          </pic:cNvPicPr>
                        </pic:nvPicPr>
                        <pic:blipFill>
                          <a:blip r:embed="rId177"/>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Within-reef agreement (Spearman correlation) between layers across reefs. The layers agree only moderately on which cells rank highest.</w:t>
            </w:r>
          </w:p>
          <w:bookmarkEnd w:id="18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4" w:name="fig-coverage"/>
          <w:p>
            <w:pPr>
              <w:pStyle w:val="Compact"/>
              <w:jc w:val="center"/>
            </w:pPr>
            <w:r>
              <w:drawing>
                <wp:inline>
                  <wp:extent cx="5727700" cy="1985602"/>
                  <wp:effectExtent b="0" l="0" r="0" t="0"/>
                  <wp:docPr descr="" title="" id="182" name="Picture"/>
                  <a:graphic>
                    <a:graphicData uri="http://schemas.openxmlformats.org/drawingml/2006/picture">
                      <pic:pic>
                        <pic:nvPicPr>
                          <pic:cNvPr descr="../outputs/figures/fig08_coverage_by_source.png" id="183" name="Picture"/>
                          <pic:cNvPicPr>
                            <a:picLocks noChangeArrowheads="1" noChangeAspect="1"/>
                          </pic:cNvPicPr>
                        </pic:nvPicPr>
                        <pic:blipFill>
                          <a:blip r:embed="rId181"/>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Which model fills each cell of the primary search-planning layer and of the HMSC layer.</w:t>
            </w:r>
          </w:p>
          <w:bookmarkEnd w:id="184"/>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13</w:t>
        </w:r>
      </w:hyperlink>
      <w:r>
        <w:t xml:space="preserve">,</w:t>
      </w:r>
      <w:r>
        <w:t xml:space="preserve"> </w:t>
      </w:r>
      <w:hyperlink w:anchor="fig-ops">
        <w:r>
          <w:rPr>
            <w:rStyle w:val="Hyperlink"/>
          </w:rPr>
          <w:t xml:space="preserve">Figure 17</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85" w:name="tbl-ops"/>
          <w:p>
            <w:pPr>
              <w:jc w:val="center"/>
            </w:pPr>
            <w:pPr>
              <w:jc w:val="start"/>
              <w:spacing w:before="200"/>
              <w:pStyle w:val="ImageCaption"/>
            </w:pPr>
            <w:r>
              <w:t xml:space="preserve">Table 13: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8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9" w:name="fig-ops"/>
          <w:p>
            <w:pPr>
              <w:pStyle w:val="Compact"/>
              <w:jc w:val="center"/>
            </w:pPr>
            <w:r>
              <w:drawing>
                <wp:inline>
                  <wp:extent cx="5727700" cy="5040376"/>
                  <wp:effectExtent b="0" l="0" r="0" t="0"/>
                  <wp:docPr descr="" title="" id="187" name="Picture"/>
                  <a:graphic>
                    <a:graphicData uri="http://schemas.openxmlformats.org/drawingml/2006/picture">
                      <pic:pic>
                        <pic:nvPicPr>
                          <pic:cNvPr descr="../outputs/figures/fig11_operational_efficiency.png" id="188" name="Picture"/>
                          <pic:cNvPicPr>
                            <a:picLocks noChangeArrowheads="1" noChangeAspect="1"/>
                          </pic:cNvPicPr>
                        </pic:nvPicPr>
                        <pic:blipFill>
                          <a:blip r:embed="rId186"/>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Manta and cull effort cut by the primary layer versus at random (2022–2026).</w:t>
            </w:r>
          </w:p>
          <w:bookmarkEnd w:id="189"/>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18</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93" w:name="fig-plans"/>
          <w:p>
            <w:pPr>
              <w:pStyle w:val="Compact"/>
              <w:jc w:val="center"/>
            </w:pPr>
            <w:r>
              <w:drawing>
                <wp:inline>
                  <wp:extent cx="5727700" cy="6567762"/>
                  <wp:effectExtent b="0" l="0" r="0" t="0"/>
                  <wp:docPr descr="" title="" id="191" name="Picture"/>
                  <a:graphic>
                    <a:graphicData uri="http://schemas.openxmlformats.org/drawingml/2006/picture">
                      <pic:pic>
                        <pic:nvPicPr>
                          <pic:cNvPr descr="../outputs/figures/fig12_search_plans_batt_eyrie.png" id="192" name="Picture"/>
                          <pic:cNvPicPr>
                            <a:picLocks noChangeArrowheads="1" noChangeAspect="1"/>
                          </pic:cNvPicPr>
                        </pic:nvPicPr>
                        <pic:blipFill>
                          <a:blip r:embed="rId190"/>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93"/>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97" w:name="fig-history"/>
          <w:p>
            <w:pPr>
              <w:pStyle w:val="Compact"/>
              <w:jc w:val="center"/>
            </w:pPr>
            <w:r>
              <w:drawing>
                <wp:inline>
                  <wp:extent cx="5727700" cy="6644131"/>
                  <wp:effectExtent b="0" l="0" r="0" t="0"/>
                  <wp:docPr descr="" title="" id="195" name="Picture"/>
                  <a:graphic>
                    <a:graphicData uri="http://schemas.openxmlformats.org/drawingml/2006/picture">
                      <pic:pic>
                        <pic:nvPicPr>
                          <pic:cNvPr descr="../outputs/figures/fig10_history_combined_four_reefs.png" id="196" name="Picture"/>
                          <pic:cNvPicPr>
                            <a:picLocks noChangeArrowheads="1" noChangeAspect="1"/>
                          </pic:cNvPicPr>
                        </pic:nvPicPr>
                        <pic:blipFill>
                          <a:blip r:embed="rId194"/>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Habitat, cull history and the combined layer on the four reefs, with the history evidence weight. The combined layer is dominated by past finds wherever history exists.</w:t>
            </w:r>
          </w:p>
          <w:bookmarkEnd w:id="197"/>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98"/>
    <w:bookmarkStart w:id="200"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99" w:name="tbl-workplan"/>
          <w:p>
            <w:pPr>
              <w:jc w:val="center"/>
            </w:pPr>
            <w:pPr>
              <w:jc w:val="start"/>
              <w:spacing w:before="200"/>
              <w:pStyle w:val="ImageCaption"/>
            </w:pPr>
            <w:r>
              <w:t xml:space="preserve">Table 14: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3.4</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G. Prototype fine-scale metacommunity model</w:t>
                  </w:r>
                </w:p>
              </w:tc>
              <w:tc>
                <w:tcPr/>
                <w:p>
                  <w:pPr>
                    <w:pStyle w:val="Compact"/>
                    <w:jc w:val="center"/>
                  </w:pPr>
                  <w:r>
                    <w:t xml:space="preserve">Methods and metacommunity calibration Results</w:t>
                  </w:r>
                </w:p>
              </w:tc>
              <w:tc>
                <w:tcPr/>
                <w:p>
                  <w:pPr>
                    <w:pStyle w:val="Compact"/>
                    <w:jc w:val="center"/>
                  </w:pPr>
                  <w:r>
                    <w:t xml:space="preserve">Prototype implemented; validation and control-policy comparisons incomplete</w:t>
                  </w:r>
                </w:p>
              </w:tc>
            </w:tr>
            <w:tr>
              <w:tc>
                <w:tcPr/>
                <w:p>
                  <w:pPr>
                    <w:pStyle w:val="Compact"/>
                    <w:jc w:val="center"/>
                  </w:pPr>
                  <w:r>
                    <w:t xml:space="preserve">H. Final data sets and public report (FAIR)</w:t>
                  </w:r>
                </w:p>
              </w:tc>
              <w:tc>
                <w:tcPr/>
                <w:p>
                  <w:pPr>
                    <w:pStyle w:val="Compact"/>
                    <w:jc w:val="center"/>
                  </w:pPr>
                  <w:r>
                    <w:t xml:space="preserve">This report; layers, tables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99"/>
          <w:p/>
        </w:tc>
      </w:tr>
    </w:tbl>
    <w:bookmarkEnd w:id="200"/>
    <w:bookmarkStart w:id="201"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Every input is pinned by SHA-256 checksum in</w:t>
      </w:r>
      <w:r>
        <w:t xml:space="preserve"> </w:t>
      </w:r>
      <w:r>
        <w:rPr>
          <w:rStyle w:val="VerbatimChar"/>
        </w:rPr>
        <w:t xml:space="preserve">config.R</w:t>
      </w:r>
      <w:r>
        <w:t xml:space="preserve">; scripts 00–21 run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Every number in this report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bookmarkEnd w:id="201"/>
    <w:bookmarkEnd w:id="202"/>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62" Target="media/rId162.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62" Target="media/rId62.png" /><Relationship Type="http://schemas.openxmlformats.org/officeDocument/2006/relationships/image" Id="rId194" Target="media/rId194.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70" Target="media/rId70.png" /><Relationship Type="http://schemas.openxmlformats.org/officeDocument/2006/relationships/image" Id="rId56" Target="media/rId56.png" /><Relationship Type="http://schemas.openxmlformats.org/officeDocument/2006/relationships/image" Id="rId34" Target="media/rId34.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hyperlink" Id="rId125" Target="https://doi.org/10.1002/ece3.71292" TargetMode="External" /><Relationship Type="http://schemas.openxmlformats.org/officeDocument/2006/relationships/hyperlink" Id="rId109" Target="https://doi.org/10.1002/ecm.1494" TargetMode="External" /><Relationship Type="http://schemas.openxmlformats.org/officeDocument/2006/relationships/hyperlink" Id="rId143" Target="https://doi.org/10.1007/s00338-020-01981-z" TargetMode="External" /><Relationship Type="http://schemas.openxmlformats.org/officeDocument/2006/relationships/hyperlink" Id="rId153" Target="https://doi.org/10.1007/s00338-024-02506-8" TargetMode="External" /><Relationship Type="http://schemas.openxmlformats.org/officeDocument/2006/relationships/hyperlink" Id="rId129" Target="https://doi.org/10.1016/bs.amb.2020.08.007" TargetMode="External" /><Relationship Type="http://schemas.openxmlformats.org/officeDocument/2006/relationships/hyperlink" Id="rId131" Target="https://doi.org/10.1016/bs.amb.2020.09.001" TargetMode="External" /><Relationship Type="http://schemas.openxmlformats.org/officeDocument/2006/relationships/hyperlink" Id="rId111" Target="https://doi.org/10.1038/s41598-023-46749-x" TargetMode="External" /><Relationship Type="http://schemas.openxmlformats.org/officeDocument/2006/relationships/hyperlink" Id="rId119" Target="https://doi.org/10.1073/pnas.1208909109" TargetMode="External" /><Relationship Type="http://schemas.openxmlformats.org/officeDocument/2006/relationships/hyperlink" Id="rId115" Target="https://doi.org/10.1098/rsos.201296" TargetMode="External" /><Relationship Type="http://schemas.openxmlformats.org/officeDocument/2006/relationships/hyperlink" Id="rId151" Target="https://doi.org/10.1111/2041-210X.13345" TargetMode="External" /><Relationship Type="http://schemas.openxmlformats.org/officeDocument/2006/relationships/hyperlink" Id="rId147" Target="https://doi.org/10.1111/ecog.02881" TargetMode="External" /><Relationship Type="http://schemas.openxmlformats.org/officeDocument/2006/relationships/hyperlink" Id="rId155" Target="https://doi.org/10.1111/ecog.04960" TargetMode="External" /><Relationship Type="http://schemas.openxmlformats.org/officeDocument/2006/relationships/hyperlink" Id="rId141" Target="https://doi.org/10.1111/ele.12757" TargetMode="External" /><Relationship Type="http://schemas.openxmlformats.org/officeDocument/2006/relationships/hyperlink" Id="rId113" Target="https://doi.org/10.1145/2939672.2939785" TargetMode="External" /><Relationship Type="http://schemas.openxmlformats.org/officeDocument/2006/relationships/hyperlink" Id="rId133" Target="https://doi.org/10.1371/journal.pone.0298073" TargetMode="External" /><Relationship Type="http://schemas.openxmlformats.org/officeDocument/2006/relationships/hyperlink" Id="rId127" Target="https://doi.org/10.32942/X2HD3J" TargetMode="External" /><Relationship Type="http://schemas.openxmlformats.org/officeDocument/2006/relationships/hyperlink" Id="rId149" Target="https://doi.org/10.32942/X2J391" TargetMode="External" /><Relationship Type="http://schemas.openxmlformats.org/officeDocument/2006/relationships/hyperlink" Id="rId135" Target="https://doi.org/10.3354/meps10858" TargetMode="External" /><Relationship Type="http://schemas.openxmlformats.org/officeDocument/2006/relationships/hyperlink" Id="rId145" Target="https://doi.org/10.3390/d9040041" TargetMode="External" /><Relationship Type="http://schemas.openxmlformats.org/officeDocument/2006/relationships/hyperlink" Id="rId117" Target="https://doi.org/10.64898/2026.04.13.718315" TargetMode="External" /><Relationship Type="http://schemas.openxmlformats.org/officeDocument/2006/relationships/hyperlink" Id="rId137" Target="https://github.com/open-AIMS/ADRIA.jl" TargetMode="External" /><Relationship Type="http://schemas.openxmlformats.org/officeDocument/2006/relationships/hyperlink" Id="rId139" Target="https://github.com/open-AIMS/COTSMod.jl" TargetMode="External" /><Relationship Type="http://schemas.openxmlformats.org/officeDocument/2006/relationships/hyperlink" Id="rId121" Target="https://nesptropical.edu.au/wp-content/uploads/2020/04/NESP-TWQ-Project-3.1.1-Technical-Report-2.pdf" TargetMode="External" /><Relationship Type="http://schemas.openxmlformats.org/officeDocument/2006/relationships/hyperlink" Id="rId123" Target="https://www.gbrmpa.gov.au/our-work/programs-and-projects/crown-thorns-starfish-management/crown-thorns-starfish-control-program-dashboard" TargetMode="External" /></Relationships>
</file>

<file path=word/_rels/footnotes.xml.rels><?xml version="1.0" encoding="UTF-8"?><Relationships xmlns="http://schemas.openxmlformats.org/package/2006/relationships"><Relationship Type="http://schemas.openxmlformats.org/officeDocument/2006/relationships/hyperlink" Id="rId125" Target="https://doi.org/10.1002/ece3.71292" TargetMode="External" /><Relationship Type="http://schemas.openxmlformats.org/officeDocument/2006/relationships/hyperlink" Id="rId109" Target="https://doi.org/10.1002/ecm.1494" TargetMode="External" /><Relationship Type="http://schemas.openxmlformats.org/officeDocument/2006/relationships/hyperlink" Id="rId143" Target="https://doi.org/10.1007/s00338-020-01981-z" TargetMode="External" /><Relationship Type="http://schemas.openxmlformats.org/officeDocument/2006/relationships/hyperlink" Id="rId153" Target="https://doi.org/10.1007/s00338-024-02506-8" TargetMode="External" /><Relationship Type="http://schemas.openxmlformats.org/officeDocument/2006/relationships/hyperlink" Id="rId129" Target="https://doi.org/10.1016/bs.amb.2020.08.007" TargetMode="External" /><Relationship Type="http://schemas.openxmlformats.org/officeDocument/2006/relationships/hyperlink" Id="rId131" Target="https://doi.org/10.1016/bs.amb.2020.09.001" TargetMode="External" /><Relationship Type="http://schemas.openxmlformats.org/officeDocument/2006/relationships/hyperlink" Id="rId111" Target="https://doi.org/10.1038/s41598-023-46749-x" TargetMode="External" /><Relationship Type="http://schemas.openxmlformats.org/officeDocument/2006/relationships/hyperlink" Id="rId119" Target="https://doi.org/10.1073/pnas.1208909109" TargetMode="External" /><Relationship Type="http://schemas.openxmlformats.org/officeDocument/2006/relationships/hyperlink" Id="rId115" Target="https://doi.org/10.1098/rsos.201296" TargetMode="External" /><Relationship Type="http://schemas.openxmlformats.org/officeDocument/2006/relationships/hyperlink" Id="rId151" Target="https://doi.org/10.1111/2041-210X.13345" TargetMode="External" /><Relationship Type="http://schemas.openxmlformats.org/officeDocument/2006/relationships/hyperlink" Id="rId147" Target="https://doi.org/10.1111/ecog.02881" TargetMode="External" /><Relationship Type="http://schemas.openxmlformats.org/officeDocument/2006/relationships/hyperlink" Id="rId155" Target="https://doi.org/10.1111/ecog.04960" TargetMode="External" /><Relationship Type="http://schemas.openxmlformats.org/officeDocument/2006/relationships/hyperlink" Id="rId141" Target="https://doi.org/10.1111/ele.12757" TargetMode="External" /><Relationship Type="http://schemas.openxmlformats.org/officeDocument/2006/relationships/hyperlink" Id="rId113" Target="https://doi.org/10.1145/2939672.2939785" TargetMode="External" /><Relationship Type="http://schemas.openxmlformats.org/officeDocument/2006/relationships/hyperlink" Id="rId133" Target="https://doi.org/10.1371/journal.pone.0298073" TargetMode="External" /><Relationship Type="http://schemas.openxmlformats.org/officeDocument/2006/relationships/hyperlink" Id="rId127" Target="https://doi.org/10.32942/X2HD3J" TargetMode="External" /><Relationship Type="http://schemas.openxmlformats.org/officeDocument/2006/relationships/hyperlink" Id="rId149" Target="https://doi.org/10.32942/X2J391" TargetMode="External" /><Relationship Type="http://schemas.openxmlformats.org/officeDocument/2006/relationships/hyperlink" Id="rId135" Target="https://doi.org/10.3354/meps10858" TargetMode="External" /><Relationship Type="http://schemas.openxmlformats.org/officeDocument/2006/relationships/hyperlink" Id="rId145" Target="https://doi.org/10.3390/d9040041" TargetMode="External" /><Relationship Type="http://schemas.openxmlformats.org/officeDocument/2006/relationships/hyperlink" Id="rId117" Target="https://doi.org/10.64898/2026.04.13.718315" TargetMode="External" /><Relationship Type="http://schemas.openxmlformats.org/officeDocument/2006/relationships/hyperlink" Id="rId137" Target="https://github.com/open-AIMS/ADRIA.jl" TargetMode="External" /><Relationship Type="http://schemas.openxmlformats.org/officeDocument/2006/relationships/hyperlink" Id="rId139" Target="https://github.com/open-AIMS/COTSMod.jl" TargetMode="External" /><Relationship Type="http://schemas.openxmlformats.org/officeDocument/2006/relationships/hyperlink" Id="rId121" Target="https://nesptropical.edu.au/wp-content/uploads/2020/04/NESP-TWQ-Project-3.1.1-Technical-Report-2.pdf" TargetMode="External" /><Relationship Type="http://schemas.openxmlformats.org/officeDocument/2006/relationships/hyperlink" Id="rId123" Target="https://www.gbrmpa.gov.au/our-work/programs-and-projects/crown-thorns-starfish-management/crown-thorns-starfish-control-program-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dc:language>en-AU</dc:language>
  <cp:keywords/>
  <dcterms:created xsi:type="dcterms:W3CDTF">2026-10-16T02:07:37Z</dcterms:created>
  <dcterms:modified xsi:type="dcterms:W3CDTF">2026-10-16T02:07:37Z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