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93.png" ContentType="image/png"/>
  <Override PartName="/word/media/rId197.png" ContentType="image/png"/>
  <Override PartName="/word/media/rId202.png" ContentType="image/png"/>
  <Override PartName="/word/media/rId141.png" ContentType="image/png"/>
  <Override PartName="/word/media/rId145.png" ContentType="image/png"/>
  <Override PartName="/word/media/rId135.png" ContentType="image/png"/>
  <Override PartName="/word/media/rId150.png" ContentType="image/png"/>
  <Override PartName="/word/media/rId154.png" ContentType="image/png"/>
  <Override PartName="/word/media/rId214.png" ContentType="image/png"/>
  <Override PartName="/word/media/rId167.png" ContentType="image/png"/>
  <Override PartName="/word/media/rId159.png" ContentType="image/png"/>
  <Override PartName="/word/media/rId163.png" ContentType="image/png"/>
  <Override PartName="/word/media/rId222.png" ContentType="image/png"/>
  <Override PartName="/word/media/rId208.png" ContentType="image/png"/>
  <Override PartName="/word/media/rId184.png" ContentType="image/png"/>
  <Override PartName="/word/media/rId227.png" ContentType="image/png"/>
  <Override PartName="/word/media/rId47.png" ContentType="image/png"/>
  <Override PartName="/word/media/rId261.png" ContentType="image/png"/>
  <Override PartName="/word/media/rId267.png" ContentType="image/png"/>
  <Override PartName="/word/media/rId35.png" ContentType="image/png"/>
  <Override PartName="/word/media/rId42.png" ContentType="image/png"/>
  <Override PartName="/word/media/rId52.png" ContentType="image/png"/>
  <Override PartName="/word/media/rId237.png" ContentType="image/png"/>
  <Override PartName="/word/media/rId241.png" ContentType="image/png"/>
  <Override PartName="/word/media/rId246.png" ContentType="image/png"/>
  <Override PartName="/word/media/rId250.png" ContentType="image/png"/>
  <Override PartName="/word/media/rId2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and when to search for COTS on a reef</w:t>
      </w:r>
    </w:p>
    <w:p>
      <w:pPr>
        <w:pStyle w:val="Subtitle"/>
      </w:pPr>
      <w:r>
        <w:t xml:space="preserve">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and when to search for COTS on a reef: fine-scale habitat suitability and metacommunity modelling for tactical and strategic decision making on the Great Barrier Reef.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habitat suitability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High retention leaves limited scope to cut searches.</w:t>
      </w:r>
      <w:r>
        <w:t xml:space="preserve"> </w:t>
      </w:r>
      <w:r>
        <w:t xml:space="preserve">Re-evaluating the existing forward ranking at &gt;0.04 COTS per minute of bottom time, retaining 95% of high-density dives required 90% of sites, compared with 94% using habitat alone and 96% at random. Retaining 99% required 98% with the combined ranking. These trade-offs require field testing and an agreed missed-dive tolerance.</w:t>
      </w:r>
    </w:p>
    <w:p>
      <w:pPr>
        <w:pStyle w:val="Compact"/>
        <w:numPr>
          <w:ilvl w:val="0"/>
          <w:numId w:val="1002"/>
        </w:numPr>
      </w:pPr>
      <w:r>
        <w:rPr>
          <w:b/>
          <w:bCs/>
        </w:rPr>
        <w:t xml:space="preserve">The earlier ≥0.02 comparison improved on habitat alone season after season.</w:t>
      </w:r>
      <w:r>
        <w:t xml:space="preserve"> </w:t>
      </w:r>
      <w:r>
        <w:t xml:space="preserve">With the evidence model 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waves and now supports exploratory control projections.</w:t>
      </w:r>
      <w:r>
        <w:t xml:space="preserve"> </w:t>
      </w:r>
      <w:r>
        <w:t xml:space="preserve">Updated simulations compare COTS and coral through 2026, with and without recorded culling. Initial projections to 2050 link diver effort to removals, but peak sizes, recent densities and outside larval supply remain uncertain. Program-impact and fifth-wave suppression estimates still require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Use the 2027 ranking as a search order. Agree and test the tolerance for missed &gt;0.04 dives before adopting a fixed exclusion rule.</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5"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Irruptions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irruptions by manual culling, which can protect coral when sustained at the right reefs</w:t>
      </w:r>
      <w:r>
        <w:t xml:space="preserve"> </w:t>
      </w:r>
      <w:r>
        <w:t xml:space="preserve">(Matthews et al., 2024)</w:t>
      </w:r>
      <w:r>
        <w:t xml:space="preserve">. A substantial portion of operational effort goes into searching for COTS, creating opportunities to improve where surveillance and culling are directed.</w:t>
      </w:r>
    </w:p>
    <w:p>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w:t>
      </w:r>
      <w:r>
        <w:t xml:space="preserve"> </w:t>
      </w:r>
      <w:r>
        <w:t xml:space="preserve">(Great Barrier Reef Marine Park Authority, 2026)</w:t>
      </w:r>
      <w:r>
        <w:t xml:space="preserve">. The dashboards bring together recent observations to support these decisions</w:t>
      </w:r>
      <w:r>
        <w:t xml:space="preserve"> </w:t>
      </w:r>
      <w:r>
        <w:t xml:space="preserve">(Matthews et al., 2025)</w:t>
      </w:r>
      <w:r>
        <w:t xml:space="preserve">. In the held-out cull records from 2018 to 2026, 18% of dives found no COTS (ghost dives), and a further 21% found COTS at CPUE below 0.02 COTS per minute of bottom time (low-density dives).</w:t>
      </w:r>
      <w:r>
        <w:t xml:space="preserve"> </w:t>
      </w:r>
    </w:p>
    <w:p>
      <w:pPr>
        <w:pStyle w:val="BodyText"/>
      </w:pPr>
      <w:r>
        <w:t xml:space="preserve">The operational strategy links decisions from individual sites to voyages and regional priorities</w:t>
      </w:r>
      <w:r>
        <w:t xml:space="preserve"> </w:t>
      </w:r>
      <w:r>
        <w:t xml:space="preserve">(Fletcher et al., 2020)</w:t>
      </w:r>
      <w:r>
        <w:t xml:space="preserve">.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w:t>
      </w:r>
      <w:r>
        <w:t xml:space="preserve"> </w:t>
      </w:r>
    </w:p>
    <w:p>
      <w:pPr>
        <w:pStyle w:val="BodyText"/>
      </w:pPr>
      <w:r>
        <w:t xml:space="preserve">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bookmarkEnd w:id="21"/>
    <w:bookmarkStart w:id="22" w:name="earlier-models-this-project-builds-on"/>
    <w:p>
      <w:pPr>
        <w:pStyle w:val="Heading2"/>
      </w:pPr>
      <w:r>
        <w:t xml:space="preserve">1.2 Earlier models this project builds on</w:t>
      </w:r>
    </w:p>
    <w:p>
      <w:pPr>
        <w:pStyle w:val="FirstParagraph"/>
      </w:pPr>
      <w:r>
        <w:t xml:space="preserve">Most COTS modelling has treated whole reefs as its spatial units, either across the GBR for regional planning</w:t>
      </w:r>
      <w:r>
        <w:t xml:space="preserve"> </w:t>
      </w:r>
      <w:r>
        <w:t xml:space="preserve">(Matthews et al., 2020b; Condie et al., 2021; Bozec et al., 2022)</w:t>
      </w:r>
      <w:r>
        <w:t xml:space="preserve"> </w:t>
      </w:r>
      <w:r>
        <w:t xml:space="preserve">or on individual reefs to inform culling thresholds</w:t>
      </w:r>
      <w:r>
        <w:t xml:space="preserve"> </w:t>
      </w:r>
      <w:r>
        <w:t xml:space="preserve">(Morello et al., 2014; Plagányi et al., 2020)</w:t>
      </w:r>
      <w:r>
        <w:t xml:space="preserve">. Reef-level species distribution models (SDMs), which relate species observations to environmental conditions, showed that larval connectivity and water quality explain much of the spatial distribution of irruptions</w:t>
      </w:r>
      <w:r>
        <w:t xml:space="preserve"> </w:t>
      </w:r>
      <w:r>
        <w:t xml:space="preserve">(Matthews et al., 2020a)</w:t>
      </w:r>
      <w:r>
        <w:t xml:space="preserve">, and a hybrid machine-learning model estimates each reef’s annual irruption probability</w:t>
      </w:r>
      <w:r>
        <w:t xml:space="preserve"> </w:t>
      </w:r>
      <w:r>
        <w:t xml:space="preserve">(Stewart et al., 2026)</w:t>
      </w:r>
      <w:r>
        <w:t xml:space="preserve">. Population and ecosystem models help compare regional control strategies and ecological targets, but their whole-reef units do not identify where within a reef to search or cull.</w:t>
      </w:r>
    </w:p>
    <w:p>
      <w:pPr>
        <w:pStyle w:val="BodyText"/>
      </w:pPr>
      <w:r>
        <w:t xml:space="preserve">Recent developments support finer spatial resolution. Coral species distribution models use satellite-derived multiscale terrain and benthic variables to map habitat for key coral taxa at tens of metres</w:t>
      </w:r>
      <w:r>
        <w:t xml:space="preserve"> </w:t>
      </w:r>
      <w:r>
        <w:t xml:space="preserve">(Guillaume et al., 2025)</w:t>
      </w:r>
      <w:r>
        <w:t xml:space="preserve">. Their predictions and environmental predictors are inputs to the habitat modelling here, which maps COTS suitability at 30 m and combines it with recent program observations.</w:t>
      </w:r>
    </w:p>
    <w:p>
      <w:pPr>
        <w:pStyle w:val="BodyText"/>
      </w:pPr>
      <w:r>
        <w:t xml:space="preserve">In parallel, advances in hydrodynamic and COTS larval-connectivity modelling provide a route to representing connections among smaller areas of reef. This project adapts COTSMod, a spatially explicit model of COTS populations and coral recovery</w:t>
      </w:r>
      <w:r>
        <w:t xml:space="preserve"> </w:t>
      </w:r>
      <w:r>
        <w:t xml:space="preserve">(Matthews et al., 2020b)</w:t>
      </w:r>
      <w:r>
        <w:t xml:space="preserve">, to represent site-level dynamics in the northern GBR irruption initiation box. It uses AIMS’s high-throughput ADRIA ecosystem modelling framework and CoralBlox coral dynamics</w:t>
      </w:r>
      <w:r>
        <w:t xml:space="preserve"> </w:t>
      </w:r>
      <w:r>
        <w:t xml:space="preserve">(de Almeida et al., 2026; open-AIMS, 2026b)</w:t>
      </w:r>
      <w:r>
        <w:t xml:space="preserve">.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 xml:space="preserve">Section 2.5</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w:t>
      </w:r>
      <w:r>
        <w:t xml:space="preserve"> </w:t>
      </w:r>
      <w:r>
        <w:t xml:space="preserve">(Plagányi et al., 2020; Great Barrier Reef Marine Park Authority, 2026)</w:t>
      </w:r>
      <w:r>
        <w:t xml:space="preserve">.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 xml:space="preserve">Section 3.1.1</w:t>
        </w:r>
      </w:hyperlink>
      <w:r>
        <w:t xml:space="preserve">).</w:t>
      </w:r>
    </w:p>
    <w:p>
      <w:pPr>
        <w:pStyle w:val="BodyText"/>
      </w:pPr>
      <w:r>
        <w:t xml:space="preserve">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pPr>
        <w:pStyle w:val="BodyText"/>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w:t>
      </w:r>
      <w:r>
        <w:t xml:space="preserve"> </w:t>
      </w:r>
      <w:r>
        <w:t xml:space="preserve">(Chandler et al., 2023; Uthicke et al., 2024)</w:t>
      </w:r>
      <w:r>
        <w:t xml:space="preserve"> </w:t>
      </w:r>
      <w:r>
        <w:t xml:space="preserve">also motivates assessing whether the emerging fifth primary irruption wave can be suppressed, and what resources this would require.</w:t>
      </w:r>
    </w:p>
    <w:bookmarkEnd w:id="23"/>
    <w:bookmarkStart w:id="24" w:name="project-objectives"/>
    <w:p>
      <w:pPr>
        <w:pStyle w:val="Heading2"/>
      </w:pPr>
      <w:r>
        <w:t xml:space="preserve">1.4 Project objectives</w:t>
      </w:r>
    </w:p>
    <w:p>
      <w:pPr>
        <w:pStyle w:val="FirstParagraph"/>
      </w:pPr>
      <w:r>
        <w:t xml:space="preserve">The project addressed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irruption detection and operational efficiency, including a comparison against traditional perimeter-based surveillance.</w:t>
      </w:r>
    </w:p>
    <w:p>
      <w:pPr>
        <w:pStyle w:val="Compact"/>
        <w:numPr>
          <w:ilvl w:val="0"/>
          <w:numId w:val="1006"/>
        </w:numPr>
      </w:pPr>
      <w:r>
        <w:t xml:space="preserve">Refine site-level management strategies for individual reefs through predicted suitable habitat and metapopulation modelling.</w:t>
      </w:r>
    </w:p>
    <w:p>
      <w:pPr>
        <w:pStyle w:val="FirstParagraph"/>
      </w:pPr>
      <w:r>
        <w:t xml:space="preserve">For Objectives 1 and 2, the report evaluates habitat layers, manta thinning and cull-site rankings combining habitat with recent evidence (</w:t>
      </w:r>
      <w:hyperlink w:anchor="sec-cull">
        <w:r>
          <w:rPr>
            <w:rStyle w:val="Hyperlink"/>
          </w:rPr>
          <w:t xml:space="preserve">Section 3.1</w:t>
        </w:r>
      </w:hyperlink>
      <w:r>
        <w:t xml:space="preserve">).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and an initial effort-based model now supports exploratory projections. Independent validation and agreement on operational scenarios remain necessary before these comparisons can guide management (</w:t>
      </w:r>
      <w:hyperlink w:anchor="sec-metacommunity-results">
        <w:r>
          <w:rPr>
            <w:rStyle w:val="Hyperlink"/>
          </w:rPr>
          <w:t xml:space="preserve">Section 3.4</w:t>
        </w:r>
      </w:hyperlink>
      <w:r>
        <w:t xml:space="preserve">). Methods describe the prototype and its calibration (</w:t>
      </w:r>
      <w:hyperlink w:anchor="sec-metacommunity">
        <w:r>
          <w:rPr>
            <w:rStyle w:val="Hyperlink"/>
          </w:rPr>
          <w:t xml:space="preserve">Section 2.5</w:t>
        </w:r>
      </w:hyperlink>
      <w:r>
        <w:t xml:space="preserve">); Appendix E maps the Work Plan outputs to the report.</w:t>
      </w:r>
    </w:p>
    <w:bookmarkEnd w:id="24"/>
    <w:bookmarkEnd w:id="25"/>
    <w:bookmarkStart w:id="33" w:name="methods"/>
    <w:p>
      <w:pPr>
        <w:pStyle w:val="Heading1"/>
      </w:pPr>
      <w:r>
        <w:t xml:space="preserve">2. Methods</w:t>
      </w:r>
    </w:p>
    <w:bookmarkStart w:id="26" w:name="observations-and-habitat-information"/>
    <w:p>
      <w:pPr>
        <w:pStyle w:val="Heading2"/>
      </w:pPr>
      <w:r>
        <w:t xml:space="preserve">2.1 Observations and habitat information</w:t>
      </w:r>
    </w:p>
    <w:p>
      <w:pPr>
        <w:pStyle w:val="FirstParagraph"/>
      </w:pPr>
      <w:r>
        <w:t xml:space="preserve">The analyses combined records of where COTS had been found with maps describing reef habitat. The full cull archive covered 2002–2026. After excluding records with missing counts or invalid bottom time, records matched to designated cull sites covered 4,299 sites on 339 reefs. Catch per unit effort (CPUE) was the number of COTS culled per minute of bottom time. The habitat models summarised cull outcomes for each site and year; search performance was tested against individual dives.</w:t>
      </w:r>
    </w:p>
    <w:p>
      <w:pPr>
        <w:pStyle w:val="BodyText"/>
      </w:pPr>
      <w:r>
        <w:t xml:space="preserve">Two thresholds answered different questions. The original habitat models predicted cull CPUE ≥0.02. Empty or</w:t>
      </w:r>
      <w:r>
        <w:t xml:space="preserve"> </w:t>
      </w:r>
      <w:r>
        <w:t xml:space="preserve">“ghost”</w:t>
      </w:r>
      <w:r>
        <w:t xml:space="preserve"> </w:t>
      </w:r>
      <w:r>
        <w:t xml:space="preserve">dives found no COTS; low-density dives found COTS below 0.02. The management assessment focused on retaining dives above 0.04, the Control Program’s adopted ecological target on reefs with less than 40% coral cover</w:t>
      </w:r>
      <w:r>
        <w:t xml:space="preserve"> </w:t>
      </w:r>
      <w:r>
        <w:t xml:space="preserve">(Plagányi et al., 2020; Great Barrier Reef Marine Park Authority, 2026)</w:t>
      </w:r>
      <w:r>
        <w:t xml:space="preserve">. Dives from 0.02 to 0.04 inclusive were treated as intermediate: some could be omitted without the penalty assigned to missed dives above 0.04. The original model response was retained when assessing this management criterion.</w:t>
      </w:r>
    </w:p>
    <w:p>
      <w:pPr>
        <w:pStyle w:val="BodyText"/>
      </w:pPr>
      <w:r>
        <w:t xml:space="preserve">Manta records supplied observations along tow paths. Strong evidence meant a COTS sighting, at least two counted feeding scars, or scars recorded as common in older surveys; records with neither COTS nor scars were negatives. The manta-based habitat models used 198,852 labelled tows in 1,015 combinations of reef and survey year (reef-years). Contributing monitoring streams included Control Program crews from 2016, the Reef Joint Field Management Program from 2012, and the AIMS Long-Term Monitoring Program from 1992. These are source-program periods; each analysis used its specified data subset.</w:t>
      </w:r>
    </w:p>
    <w:p>
      <w:pPr>
        <w:pStyle w:val="BodyText"/>
      </w:pPr>
      <w:r>
        <w:t xml:space="preserve">Scooter-assisted large area diver-based (SALAD) surveys</w:t>
      </w:r>
      <w:r>
        <w:t xml:space="preserve"> </w:t>
      </w:r>
      <w:r>
        <w:t xml:space="preserve">(Pratchett et al., 2022)</w:t>
      </w:r>
      <w:r>
        <w:t xml:space="preserve"> </w:t>
      </w:r>
      <w:r>
        <w:t xml:space="preserve">and Reef Health and Impact Surveys (RHIS)</w:t>
      </w:r>
      <w:r>
        <w:t xml:space="preserve"> </w:t>
      </w:r>
      <w:r>
        <w:t xml:space="preserve">(Beeden et al., 2014)</w:t>
      </w:r>
      <w:r>
        <w:t xml:space="preserve"> </w:t>
      </w:r>
      <w:r>
        <w:t xml:space="preserve">supplied additional COTS and coral observations for the multi-observation habitat model. ReefScan imagery</w:t>
      </w:r>
      <w:r>
        <w:t xml:space="preserve"> </w:t>
      </w:r>
      <w:r>
        <w:t xml:space="preserve">(Bainbridge and Coleman, 2024)</w:t>
      </w:r>
      <w:r>
        <w:t xml:space="preserve"> </w:t>
      </w:r>
      <w:r>
        <w:t xml:space="preserve">supplied a separate check at recorded sightings, rather than training data for that model. Survey-effort tracks were unavailable for that check, so it could not estimate detection rates or absence. Appendix G describes the role of each source.</w:t>
      </w:r>
    </w:p>
    <w:p>
      <w:pPr>
        <w:pStyle w:val="BodyText"/>
      </w:pPr>
      <w:r>
        <w:t xml:space="preserve">Habitat predictors described depth, seabed shape, wave exposure, turbidity and predicted habitat for three</w:t>
      </w:r>
      <w:r>
        <w:t xml:space="preserve"> </w:t>
      </w:r>
      <w:r>
        <w:rPr>
          <w:i/>
          <w:iCs/>
        </w:rPr>
        <w:t xml:space="preserve">Acropora</w:t>
      </w:r>
      <w:r>
        <w:t xml:space="preserve"> </w:t>
      </w:r>
      <w:r>
        <w:t xml:space="preserve">taxa</w:t>
      </w:r>
      <w:r>
        <w:t xml:space="preserve"> </w:t>
      </w:r>
      <w:r>
        <w:t xml:space="preserve">(Guillaume et al., 2025)</w:t>
      </w:r>
      <w:r>
        <w:t xml:space="preserve">. They were assembled on a 30 m grid. ReefGuide supplied additional environmental layers</w:t>
      </w:r>
      <w:r>
        <w:t xml:space="preserve"> </w:t>
      </w:r>
      <w:r>
        <w:t xml:space="preserve">(open-AIMS, n.d.)</w:t>
      </w:r>
      <w:r>
        <w:t xml:space="preserve">; their shallower coverage left gaps in some deeper reef areas, particularly beyond about 15–20 m. GBR10 bathymetry and geomorphic maps supplied further reef information</w:t>
      </w:r>
      <w:r>
        <w:t xml:space="preserve"> </w:t>
      </w:r>
      <w:r>
        <w:t xml:space="preserve">(Great Barrier Reef Marine Park Authority, 2021a, 2021b; Roelfsema et al., 2021)</w:t>
      </w:r>
      <w:r>
        <w:t xml:space="preserve">. Appendix B lists predictors and sources; Appendix G gives the fitting and mapping details.</w:t>
      </w:r>
    </w:p>
    <w:bookmarkEnd w:id="26"/>
    <w:bookmarkStart w:id="28" w:name="models-and-their-purposes"/>
    <w:p>
      <w:pPr>
        <w:pStyle w:val="Heading2"/>
      </w:pPr>
      <w:r>
        <w:t xml:space="preserve">2.2 Models and their purposes</w:t>
      </w:r>
    </w:p>
    <w:p>
      <w:pPr>
        <w:pStyle w:val="FirstParagraph"/>
      </w:pPr>
      <w:r>
        <w:t xml:space="preserve">The habitat models asked whether environmental conditions could rank places within a reef. The search-ranking model then added recent observations to identify where crews should search first. These tasks differ from simulating how culling affects connected COTS populations and coral, which was the role of the metacommunity model.</w:t>
      </w:r>
      <w:r>
        <w:t xml:space="preserve"> </w:t>
      </w:r>
      <w:hyperlink w:anchor="tbl-model-purpose">
        <w:r>
          <w:rPr>
            <w:rStyle w:val="Hyperlink"/>
          </w:rPr>
          <w:t xml:space="preserve">Table 1</w:t>
        </w:r>
      </w:hyperlink>
      <w:r>
        <w:t xml:space="preserve"> </w:t>
      </w:r>
      <w:r>
        <w:t xml:space="preserve">defines each model before its results are discussed.</w:t>
      </w:r>
    </w:p>
    <w:tbl>
      <w:tblPr>
        <w:tblStyle w:val="Table"/>
        <w:tblW w:type="pct" w:w="5000"/>
        <w:tblLayout w:type="fixed"/>
        <w:tblLook w:firstRow="0" w:lastRow="0" w:firstColumn="0" w:lastColumn="0" w:noHBand="0" w:noVBand="0" w:val="0000"/>
      </w:tblPr>
      <w:tblGrid>
        <w:gridCol w:w="7920"/>
      </w:tblGrid>
      <w:tr>
        <w:tc>
          <w:tcPr/>
          <w:bookmarkStart w:id="27" w:name="tbl-model-purpose"/>
          <w:p>
            <w:pPr>
              <w:jc w:val="center"/>
            </w:pPr>
            <w:pPr>
              <w:jc w:val="start"/>
              <w:spacing w:before="200"/>
              <w:pStyle w:val="ImageCaption"/>
            </w:pPr>
            <w:r>
              <w:t xml:space="preserve">Table 1: Models and comparisons. Predictor counts for the two annual models include survey year. Original code labels and alternative combinations are mapped to these descriptions in Appendix 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Model or comparison</w:t>
                  </w:r>
                </w:p>
              </w:tc>
              <w:tc>
                <w:tcPr/>
                <w:p>
                  <w:pPr>
                    <w:pStyle w:val="Compact"/>
                    <w:jc w:val="center"/>
                  </w:pPr>
                  <w:r>
                    <w:t xml:space="preserve">Purpose</w:t>
                  </w:r>
                </w:p>
              </w:tc>
              <w:tc>
                <w:tcPr/>
                <w:p>
                  <w:pPr>
                    <w:pStyle w:val="Compact"/>
                    <w:jc w:val="center"/>
                  </w:pPr>
                  <w:r>
                    <w:t xml:space="preserve">Information used</w:t>
                  </w:r>
                </w:p>
              </w:tc>
            </w:tr>
            <w:tr>
              <w:tc>
                <w:tcPr/>
                <w:p>
                  <w:pPr>
                    <w:pStyle w:val="Compact"/>
                    <w:jc w:val="center"/>
                  </w:pPr>
                  <w:r>
                    <w:t xml:space="preserve">Annual full-extent habitat model, 13 predictors</w:t>
                  </w:r>
                </w:p>
              </w:tc>
              <w:tc>
                <w:tcPr/>
                <w:p>
                  <w:pPr>
                    <w:pStyle w:val="Compact"/>
                    <w:jc w:val="center"/>
                  </w:pPr>
                  <w:r>
                    <w:t xml:space="preserve">Predict cull outcomes across the full habitat-map extent</w:t>
                  </w:r>
                </w:p>
              </w:tc>
              <w:tc>
                <w:tcPr/>
                <w:p>
                  <w:pPr>
                    <w:pStyle w:val="Compact"/>
                    <w:jc w:val="center"/>
                  </w:pPr>
                  <w:r>
                    <w:t xml:space="preserve">Twelve terrain and coral-habitat predictors plus survey year; fitted to cull site-years</w:t>
                  </w:r>
                </w:p>
              </w:tc>
            </w:tr>
            <w:tr>
              <w:tc>
                <w:tcPr/>
                <w:p>
                  <w:pPr>
                    <w:pStyle w:val="Compact"/>
                    <w:jc w:val="center"/>
                  </w:pPr>
                  <w:r>
                    <w:t xml:space="preserve">Annual limited-extent habitat model, 18 predictors</w:t>
                  </w:r>
                </w:p>
              </w:tc>
              <w:tc>
                <w:tcPr/>
                <w:p>
                  <w:pPr>
                    <w:pStyle w:val="Compact"/>
                    <w:jc w:val="center"/>
                  </w:pPr>
                  <w:r>
                    <w:t xml:space="preserve">Test whether added environmental information improves the annual prediction</w:t>
                  </w:r>
                </w:p>
              </w:tc>
              <w:tc>
                <w:tcPr/>
                <w:p>
                  <w:pPr>
                    <w:pStyle w:val="Compact"/>
                    <w:jc w:val="center"/>
                  </w:pPr>
                  <w:r>
                    <w:t xml:space="preserve">The same predictors and year, plus five ReefGuide layers; fitted to cull site-years</w:t>
                  </w:r>
                </w:p>
              </w:tc>
            </w:tr>
            <w:tr>
              <w:tc>
                <w:tcPr/>
                <w:p>
                  <w:pPr>
                    <w:pStyle w:val="Compact"/>
                    <w:jc w:val="center"/>
                  </w:pPr>
                  <w:r>
                    <w:t xml:space="preserve">Manta habitat models</w:t>
                  </w:r>
                </w:p>
              </w:tc>
              <w:tc>
                <w:tcPr/>
                <w:p>
                  <w:pPr>
                    <w:pStyle w:val="Compact"/>
                    <w:jc w:val="center"/>
                  </w:pPr>
                  <w:r>
                    <w:t xml:space="preserve">Rank tow locations with strong COTS evidence</w:t>
                  </w:r>
                </w:p>
              </w:tc>
              <w:tc>
                <w:tcPr/>
                <w:p>
                  <w:pPr>
                    <w:pStyle w:val="Compact"/>
                    <w:jc w:val="center"/>
                  </w:pPr>
                  <w:r>
                    <w:t xml:space="preserve">The environmental predictors above, fitted to tow observations; versions with year and with differences among reef-years accounted for were compared</w:t>
                  </w:r>
                </w:p>
              </w:tc>
            </w:tr>
            <w:tr>
              <w:tc>
                <w:tcPr/>
                <w:p>
                  <w:pPr>
                    <w:pStyle w:val="Compact"/>
                    <w:jc w:val="center"/>
                  </w:pPr>
                  <w:r>
                    <w:t xml:space="preserve">Recent-evidence site ranking</w:t>
                  </w:r>
                </w:p>
              </w:tc>
              <w:tc>
                <w:tcPr/>
                <w:p>
                  <w:pPr>
                    <w:pStyle w:val="Compact"/>
                    <w:jc w:val="center"/>
                  </w:pPr>
                  <w:r>
                    <w:t xml:space="preserve">Set a search order for designated cull sites</w:t>
                  </w:r>
                </w:p>
              </w:tc>
              <w:tc>
                <w:tcPr/>
                <w:p>
                  <w:pPr>
                    <w:pStyle w:val="Compact"/>
                    <w:jc w:val="center"/>
                  </w:pPr>
                  <w:r>
                    <w:t xml:space="preserve">Habitat rank plus the preceding season’s cull dives and nearby manta tows</w:t>
                  </w:r>
                </w:p>
              </w:tc>
            </w:tr>
            <w:tr>
              <w:tc>
                <w:tcPr/>
                <w:p>
                  <w:pPr>
                    <w:pStyle w:val="Compact"/>
                    <w:jc w:val="center"/>
                  </w:pPr>
                  <w:r>
                    <w:t xml:space="preserve">Multi-observation habitat model</w:t>
                  </w:r>
                </w:p>
              </w:tc>
              <w:tc>
                <w:tcPr/>
                <w:p>
                  <w:pPr>
                    <w:pStyle w:val="Compact"/>
                    <w:jc w:val="center"/>
                  </w:pPr>
                  <w:r>
                    <w:t xml:space="preserve">Explain habitat associations while allowing for different observations</w:t>
                  </w:r>
                </w:p>
              </w:tc>
              <w:tc>
                <w:tcPr/>
                <w:p>
                  <w:pPr>
                    <w:pStyle w:val="Compact"/>
                    <w:jc w:val="center"/>
                  </w:pPr>
                  <w:r>
                    <w:t xml:space="preserve">Cull, SALAD and RHIS evidence, terrain, geomorphic classes and coral habitat; implemented with a hierarchical model of species communities</w:t>
                  </w:r>
                </w:p>
              </w:tc>
            </w:tr>
            <w:tr>
              <w:tc>
                <w:tcPr/>
                <w:p>
                  <w:pPr>
                    <w:pStyle w:val="Compact"/>
                    <w:jc w:val="center"/>
                  </w:pPr>
                  <w:r>
                    <w:t xml:space="preserve">Habitat updated by longer cull history</w:t>
                  </w:r>
                </w:p>
              </w:tc>
              <w:tc>
                <w:tcPr/>
                <w:p>
                  <w:pPr>
                    <w:pStyle w:val="Compact"/>
                    <w:jc w:val="center"/>
                  </w:pPr>
                  <w:r>
                    <w:t xml:space="preserve">Test how much past finds add to a habitat forecast</w:t>
                  </w:r>
                </w:p>
              </w:tc>
              <w:tc>
                <w:tcPr/>
                <w:p>
                  <w:pPr>
                    <w:pStyle w:val="Compact"/>
                    <w:jc w:val="center"/>
                  </w:pPr>
                  <w:r>
                    <w:t xml:space="preserve">Multi-observation habitat estimates and spatially weighted earlier cull records</w:t>
                  </w:r>
                </w:p>
              </w:tc>
            </w:tr>
            <w:tr>
              <w:tc>
                <w:tcPr/>
                <w:p>
                  <w:pPr>
                    <w:pStyle w:val="Compact"/>
                    <w:jc w:val="center"/>
                  </w:pPr>
                  <w:r>
                    <w:t xml:space="preserve">COTS–coral metacommunity model</w:t>
                  </w:r>
                </w:p>
              </w:tc>
              <w:tc>
                <w:tcPr/>
                <w:p>
                  <w:pPr>
                    <w:pStyle w:val="Compact"/>
                    <w:jc w:val="center"/>
                  </w:pPr>
                  <w:r>
                    <w:t xml:space="preserve">Simulate connected populations, coral consumption and responses to removals</w:t>
                  </w:r>
                </w:p>
              </w:tc>
              <w:tc>
                <w:tcPr/>
                <w:p>
                  <w:pPr>
                    <w:pStyle w:val="Compact"/>
                    <w:jc w:val="center"/>
                  </w:pPr>
                  <w:r>
                    <w:t xml:space="preserve">Population and coral processes, larval supply, disturbance and historical culling in the Lizard Island cluster</w:t>
                  </w:r>
                </w:p>
              </w:tc>
            </w:tr>
          </w:tbl>
          <w:bookmarkEnd w:id="27"/>
          <w:p/>
        </w:tc>
      </w:tr>
    </w:tbl>
    <w:p>
      <w:pPr>
        <w:pStyle w:val="BodyText"/>
      </w:pPr>
      <w:r>
        <w:t xml:space="preserve">The search-planning map used the annual model with additional environmental information wherever its layers were available, and the full-extent model elsewhere. Scores were placed on a common scale before cells were ranked within each reef. The manta habitat models were tested as alternatives. The multi-observation model supplied ecological interpretation and uncertainty; it was not the operational search map.</w:t>
      </w:r>
    </w:p>
    <w:p>
      <w:pPr>
        <w:pStyle w:val="BodyText"/>
      </w:pPr>
      <w:r>
        <w:t xml:space="preserve">The recent-evidence ranking combined habitat with last season’s observations at or near each designated site, including whether a site had been searched without finding problematic densities. It therefore formalised information already used by crews as well as adding habitat information. Its performance must be interpreted in that operational context.</w:t>
      </w:r>
    </w:p>
    <w:bookmarkEnd w:id="28"/>
    <w:bookmarkStart w:id="30" w:name="testing-the-search-decisions"/>
    <w:p>
      <w:pPr>
        <w:pStyle w:val="Heading2"/>
      </w:pPr>
      <w:r>
        <w:t xml:space="preserve">2.3 Testing the search decisions</w:t>
      </w:r>
    </w:p>
    <w:p>
      <w:pPr>
        <w:pStyle w:val="FirstParagraph"/>
      </w:pPr>
      <w:r>
        <w:t xml:space="preserve">Predictions were compared among locations on the same reef in the same year, because those are the choices crews make. We withheld reefs or used earlier seasons to predict later ones, as set out in</w:t>
      </w:r>
      <w:r>
        <w:t xml:space="preserve"> </w:t>
      </w:r>
      <w:hyperlink w:anchor="tbl-evaluation-purpose">
        <w:r>
          <w:rPr>
            <w:rStyle w:val="Hyperlink"/>
          </w:rPr>
          <w:t xml:space="preserve">Table 2</w:t>
        </w:r>
      </w:hyperlink>
      <w:r>
        <w:t xml:space="preserve">. Comparisons kept effort or the share of high-density dives retained equal. Random selection provided a reference for the gains expected simply from searching fewer sites. Manta thinning was also compared with evenly spaced tows.</w:t>
      </w:r>
    </w:p>
    <w:tbl>
      <w:tblPr>
        <w:tblStyle w:val="Table"/>
        <w:tblW w:type="pct" w:w="5000"/>
        <w:tblLayout w:type="fixed"/>
        <w:tblLook w:firstRow="0" w:lastRow="0" w:firstColumn="0" w:lastColumn="0" w:noHBand="0" w:noVBand="0" w:val="0000"/>
      </w:tblPr>
      <w:tblGrid>
        <w:gridCol w:w="7920"/>
      </w:tblGrid>
      <w:tr>
        <w:tc>
          <w:tcPr/>
          <w:bookmarkStart w:id="29" w:name="tbl-evaluation-purpose"/>
          <w:p>
            <w:pPr>
              <w:jc w:val="center"/>
            </w:pPr>
            <w:pPr>
              <w:jc w:val="start"/>
              <w:spacing w:before="200"/>
              <w:pStyle w:val="ImageCaption"/>
            </w:pPr>
            <w:r>
              <w:t xml:space="preserve">Table 2: Evaluation of the tactical decisions. The season-by-season evidence model used earlier outcomes, but its habitat models were withheld by reef and were not also restricted to earlier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w:r>
                    <w:t xml:space="preserve">How the prediction was tested</w:t>
                  </w:r>
                </w:p>
              </w:tc>
              <w:tc>
                <w:tcPr/>
                <w:p>
                  <w:pPr>
                    <w:pStyle w:val="Compact"/>
                    <w:jc w:val="center"/>
                  </w:pPr>
                  <w:r>
                    <w:t xml:space="preserve">Comparison and outcome</w:t>
                  </w:r>
                </w:p>
              </w:tc>
            </w:tr>
            <w:tr>
              <w:tc>
                <w:tcPr/>
                <w:p>
                  <w:pPr>
                    <w:pStyle w:val="Compact"/>
                    <w:jc w:val="center"/>
                  </w:pPr>
                  <w:r>
                    <w:t xml:space="preserve">Where habitat predicts COTS</w:t>
                  </w:r>
                </w:p>
              </w:tc>
              <w:tc>
                <w:tcPr/>
                <w:p>
                  <w:pPr>
                    <w:pStyle w:val="Compact"/>
                    <w:jc w:val="center"/>
                  </w:pPr>
                  <w:r>
                    <w:t xml:space="preserve">Each reef was scored by models fitted without its group of reefs</w:t>
                  </w:r>
                </w:p>
              </w:tc>
              <w:tc>
                <w:tcPr/>
                <w:p>
                  <w:pPr>
                    <w:pStyle w:val="Compact"/>
                    <w:jc w:val="center"/>
                  </w:pPr>
                  <w:r>
                    <w:t xml:space="preserve">Ability to rank observations on the same reef and in the same year</w:t>
                  </w:r>
                </w:p>
              </w:tc>
            </w:tr>
            <w:tr>
              <w:tc>
                <w:tcPr/>
                <w:p>
                  <w:pPr>
                    <w:pStyle w:val="Compact"/>
                    <w:jc w:val="center"/>
                  </w:pPr>
                  <w:r>
                    <w:t xml:space="preserve">Which cull sites to search</w:t>
                  </w:r>
                </w:p>
              </w:tc>
              <w:tc>
                <w:tcPr/>
                <w:p>
                  <w:pPr>
                    <w:pStyle w:val="Compact"/>
                    <w:jc w:val="center"/>
                  </w:pPr>
                  <w:r>
                    <w:t xml:space="preserve">All designated sites were ranked, including never-dived sites; recent evidence came only from earlier seasons</w:t>
                  </w:r>
                </w:p>
              </w:tc>
              <w:tc>
                <w:tcPr/>
                <w:p>
                  <w:pPr>
                    <w:pStyle w:val="Compact"/>
                    <w:jc w:val="center"/>
                  </w:pPr>
                  <w:r>
                    <w:t xml:space="preserve">Habitat alone, recent evidence and their combination; sites searched and dive outcomes retained</w:t>
                  </w:r>
                </w:p>
              </w:tc>
            </w:tr>
            <w:tr>
              <w:tc>
                <w:tcPr/>
                <w:p>
                  <w:pPr>
                    <w:pStyle w:val="Compact"/>
                    <w:jc w:val="center"/>
                  </w:pPr>
                  <w:r>
                    <w:t xml:space="preserve">Whether the ranking works in later seasons</w:t>
                  </w:r>
                </w:p>
              </w:tc>
              <w:tc>
                <w:tcPr/>
                <w:p>
                  <w:pPr>
                    <w:pStyle w:val="Compact"/>
                    <w:jc w:val="center"/>
                  </w:pPr>
                  <w:r>
                    <w:t xml:space="preserve">The evidence model was fitted on seasons before each test season, 2019–2026</w:t>
                  </w:r>
                </w:p>
              </w:tc>
              <w:tc>
                <w:tcPr/>
                <w:p>
                  <w:pPr>
                    <w:pStyle w:val="Compact"/>
                    <w:jc w:val="center"/>
                  </w:pPr>
                  <w:r>
                    <w:t xml:space="preserve">The same search outcomes, evaluated season by season</w:t>
                  </w:r>
                </w:p>
              </w:tc>
            </w:tr>
            <w:tr>
              <w:tc>
                <w:tcPr/>
                <w:p>
                  <w:pPr>
                    <w:pStyle w:val="Compact"/>
                    <w:jc w:val="center"/>
                  </w:pPr>
                  <w:r>
                    <w:t xml:space="preserve">Whether &gt;0.04 dives are retained</w:t>
                  </w:r>
                </w:p>
              </w:tc>
              <w:tc>
                <w:tcPr/>
                <w:p>
                  <w:pPr>
                    <w:pStyle w:val="Compact"/>
                    <w:jc w:val="center"/>
                  </w:pPr>
                  <w:r>
                    <w:t xml:space="preserve">Saved rankings were assessed at the higher threshold without refitting</w:t>
                  </w:r>
                </w:p>
              </w:tc>
              <w:tc>
                <w:tcPr/>
                <w:p>
                  <w:pPr>
                    <w:pStyle w:val="Compact"/>
                    <w:jc w:val="center"/>
                  </w:pPr>
                  <w:r>
                    <w:t xml:space="preserve">Missed high-density dives, low-density and ghost dives avoided, and intermediate dives retained</w:t>
                  </w:r>
                </w:p>
              </w:tc>
            </w:tr>
            <w:tr>
              <w:tc>
                <w:tcPr/>
                <w:p>
                  <w:pPr>
                    <w:pStyle w:val="Compact"/>
                    <w:jc w:val="center"/>
                  </w:pPr>
                  <w:r>
                    <w:t xml:space="preserve">Which manta tows to omit</w:t>
                  </w:r>
                </w:p>
              </w:tc>
              <w:tc>
                <w:tcPr/>
                <w:p>
                  <w:pPr>
                    <w:pStyle w:val="Compact"/>
                    <w:jc w:val="center"/>
                  </w:pPr>
                  <w:r>
                    <w:t xml:space="preserve">Recorded surveys were thinned while keeping the same number of tows for each strategy</w:t>
                  </w:r>
                </w:p>
              </w:tc>
              <w:tc>
                <w:tcPr/>
                <w:p>
                  <w:pPr>
                    <w:pStyle w:val="Compact"/>
                    <w:jc w:val="center"/>
                  </w:pPr>
                  <w:r>
                    <w:t xml:space="preserve">Habitat-ranked, random and evenly spaced tows; observed aggregations still detected</w:t>
                  </w:r>
                </w:p>
              </w:tc>
            </w:tr>
          </w:tbl>
          <w:bookmarkEnd w:id="29"/>
          <w:p/>
        </w:tc>
      </w:tr>
    </w:tbl>
    <w:p>
      <w:pPr>
        <w:pStyle w:val="BodyText"/>
      </w:pPr>
      <w:r>
        <w:t xml:space="preserve">An observed manta aggregation comprised at least two strong-evidence tows linked within 500 m in a survey. It was retained if any of its tows remained. Tow order was approximated from position around the reef because recorded sequence was unavailable. The test therefore assessed thinning of existing surveys, not new route design.</w:t>
      </w:r>
    </w:p>
    <w:p>
      <w:pPr>
        <w:pStyle w:val="BodyText"/>
      </w:pPr>
      <w:r>
        <w:t xml:space="preserve">For the &gt;0.04 comparison,</w:t>
      </w:r>
      <w:r>
        <w:t xml:space="preserve"> </w:t>
      </w:r>
      <w:r>
        <w:t xml:space="preserve">“sites searched”</w:t>
      </w:r>
      <w:r>
        <w:t xml:space="preserve"> </w:t>
      </w:r>
      <w:r>
        <w:t xml:space="preserve">counted the selected designated sites across the evaluated reef-years, including sites that had never been dived. The assessment asked what proportion of observed dives fell at those selected sites; it could not determine COTS densities at unvisited sites. We compared search effort at 90%, 95% and 99% retention of high-density dives and assessed intermediate dives separately. These retention levels explored the trade-off; none was an agreed definition of negligible omissions. Confidence intervals resampled whole reef-years, or whole surveys for aggregation detection, and repeated each comparison. Appendix H provides the full comparisons and uncertainty calculations.</w:t>
      </w:r>
    </w:p>
    <w:bookmarkEnd w:id="30"/>
    <w:bookmarkStart w:id="31" w:name="seasonal-products-and-field-assessment"/>
    <w:p>
      <w:pPr>
        <w:pStyle w:val="Heading2"/>
      </w:pPr>
      <w:r>
        <w:t xml:space="preserve">2.4 Seasonal products and field assessment</w:t>
      </w:r>
    </w:p>
    <w:p>
      <w:pPr>
        <w:pStyle w:val="FirstParagraph"/>
      </w:pPr>
      <w:r>
        <w:t xml:space="preserve">The 2027 product ranked every designated site using habitat and the latest 12 months of cull and manta observations, from June 2025 to May 2026. Sites were grouped into four priority classes. Additional exploration areas identified high-ranked habitat outside designated sites and recent tow paths. These were proposed places to search, not confirmed COTS aggregations.</w:t>
      </w:r>
    </w:p>
    <w:p>
      <w:pPr>
        <w:pStyle w:val="BodyText"/>
      </w:pPr>
      <w:r>
        <w:t xml:space="preserve">A field trial will record sites searched, tows, dives, effort and COTS found, comparing the ranking with crews’ normal planning. It will also count visits to exploration areas and later checks of deferred sites. Annual or pre-closure checks remain necessary: postponing a search does not necessarily reduce annual effort. Appendix G gives the product settings and proposed assessment design.</w:t>
      </w:r>
    </w:p>
    <w:bookmarkEnd w:id="31"/>
    <w:bookmarkStart w:id="32" w:name="sec-metacommunity"/>
    <w:p>
      <w:pPr>
        <w:pStyle w:val="Heading2"/>
      </w:pPr>
      <w:r>
        <w:t xml:space="preserve">2.5 Simulating connected COTS and coral populations</w:t>
      </w:r>
    </w:p>
    <w:p>
      <w:pPr>
        <w:pStyle w:val="FirstParagraph"/>
      </w:pPr>
      <w:r>
        <w:t xml:space="preserve">The metacommunity prototype represents 2,895 sub-reef sites on 113 reefs in the Lizard Island cluster. COTSMod supplies population growth, coral consumption, reproduction and larval dispersal; ADRIA supplies the domain, disturbance and scenario handling, coupled to CoralBlox coral dynamics</w:t>
      </w:r>
      <w:r>
        <w:t xml:space="preserve"> </w:t>
      </w:r>
      <w:r>
        <w:t xml:space="preserve">(Matthews et al., 2020b; de Almeida et al., 2026; open-AIMS, 2026c, 2026b)</w:t>
      </w:r>
      <w:r>
        <w:t xml:space="preserve">. Larval connections currently operate between whole reefs. Habitat and recorded removals vary among sites, but fine-scale water-flow connections have not yet replaced those inputs.</w:t>
      </w:r>
    </w:p>
    <w:p>
      <w:pPr>
        <w:pStyle w:val="BodyText"/>
      </w:pPr>
      <w:r>
        <w:t xml:space="preserve">Historical simulations were compared with COTS and coral records from Lizard Island, Eyrie, MacGillivray and North Direction. The tests asked whether the model reproduced the timing and size of irruptions, low densities between waves, and coral change. Recorded culling was applied as removals, limited by the simulated animals available. A mismatch between available animals and recorded catches was treated as a model diagnostic.</w:t>
      </w:r>
    </w:p>
    <w:p>
      <w:pPr>
        <w:pStyle w:val="BodyText"/>
      </w:pPr>
      <w:r>
        <w:t xml:space="preserve">The intended strategic assessments compare matched histories with and without culling from 2012 onward, then examine future stopping rules, control of larval-source reefs and resources for fifth-wave suppression. They must track local and downstream coral outcomes. The latest projections translate diver-hours into removals using a density-dependent catch rate, capped by the available adult population. They compare no further culling, recent effort, increased effort and reallocation among reefs under two climate pathways through 2050. These exploratory scenarios require independent validation and agreement on operational constraints. Appendix I documents the current calibration and projections; Appendix G retains detailed model methods. [TO CONFIRM: connectivity attribution, delivery of the fine-scale network, final model release and operational scenario settings.]</w:t>
      </w:r>
    </w:p>
    <w:bookmarkEnd w:id="32"/>
    <w:bookmarkEnd w:id="33"/>
    <w:bookmarkStart w:id="57" w:name="results"/>
    <w:p>
      <w:pPr>
        <w:pStyle w:val="Heading1"/>
      </w:pPr>
      <w:r>
        <w:t xml:space="preserve">3. Results</w:t>
      </w:r>
    </w:p>
    <w:bookmarkStart w:id="41" w:name="sec-cull"/>
    <w:p>
      <w:pPr>
        <w:pStyle w:val="Heading2"/>
      </w:pPr>
      <w:r>
        <w:t xml:space="preserve">3.1 Recent observations improve cull-site search priorities</w:t>
      </w:r>
    </w:p>
    <w:p>
      <w:pPr>
        <w:pStyle w:val="FirstParagraph"/>
      </w:pPr>
      <w:r>
        <w:t xml:space="preserve">Combining recent cull and manta observations with habitat improved the search order compared with habitat alone. The original ≥0.02 comparisons showed fewer designated sites needed to retain the same share of problematic dives; the season-by-season evidence test also improved on habitat alone in recent seasons. Appendix H retains those comparisons and their full numerical results.</w:t>
      </w:r>
    </w:p>
    <w:bookmarkStart w:id="39" w:name="sec-high-density"/>
    <w:p>
      <w:pPr>
        <w:pStyle w:val="Heading3"/>
      </w:pPr>
      <w:r>
        <w:t xml:space="preserve">3.1.1 Retaining dives above the ecological target</w:t>
      </w:r>
    </w:p>
    <w:p>
      <w:pPr>
        <w:pStyle w:val="FirstParagraph"/>
      </w:pPr>
      <w:r>
        <w:t xml:space="preserve">The management assessment focused on dives above 0.04 CPUE. In the test over 2019–2026 (28,431 dives in 861 reef-years), retaining 95% of those dives required searching 90.2% (95% CI 85.4%–93.4%) of designated sites with the ranking that combined habitat and recent evidence. Habitat alone required 94.0% (95% CI 89.7%–95.5%), and random selection required 95.6% (95% CI 95.3%–95.9%) (</w:t>
      </w:r>
      <w:hyperlink w:anchor="tbl-search-highlights">
        <w:r>
          <w:rPr>
            <w:rStyle w:val="Hyperlink"/>
          </w:rPr>
          <w:t xml:space="preserve">Table 3</w:t>
        </w:r>
      </w:hyperlink>
      <w:r>
        <w:t xml:space="preserve">,</w:t>
      </w:r>
      <w:r>
        <w:t xml:space="preserve"> </w:t>
      </w:r>
      <w:hyperlink w:anchor="fig-high-density">
        <w:r>
          <w:rPr>
            <w:rStyle w:val="Hyperlink"/>
          </w:rPr>
          <w:t xml:space="preserve">Figure 1</w:t>
        </w:r>
      </w:hyperlink>
      <w:r>
        <w:t xml:space="preserve">). At that retention, the combined ranking avoided 8.9% (95% CI 6.2%–12.9%) of low-density dives and 11.2% (95% CI 8.0%–16.8%) of ghost dives.</w:t>
      </w:r>
    </w:p>
    <w:p>
      <w:pPr>
        <w:pStyle w:val="BodyText"/>
      </w:pPr>
      <w:r>
        <w:t xml:space="preserve">Higher retention left little scope to reduce searches. Retaining 99% of &gt;0.04 dives required 98.2% (95% CI 97.2%–98.7%) of sites with the combined ranking. The 95% and 99% targets still allow 5% and 1% of observed high-density dives to be missed; neither has been agreed as negligible. The proposed 10–15% reduction in searches and low-density or empty dives is therefore a target for field assessment, not a demonstrated result at an agreed omission allowance.</w:t>
      </w:r>
    </w:p>
    <w:tbl>
      <w:tblPr>
        <w:tblStyle w:val="Table"/>
        <w:tblW w:type="pct" w:w="5000"/>
        <w:tblLayout w:type="fixed"/>
        <w:tblLook w:firstRow="0" w:lastRow="0" w:firstColumn="0" w:lastColumn="0" w:noHBand="0" w:noVBand="0" w:val="0000"/>
      </w:tblPr>
      <w:tblGrid>
        <w:gridCol w:w="7920"/>
      </w:tblGrid>
      <w:tr>
        <w:tc>
          <w:tcPr/>
          <w:bookmarkStart w:id="34" w:name="tbl-search-highlights"/>
          <w:p>
            <w:pPr>
              <w:jc w:val="center"/>
            </w:pPr>
            <w:pPr>
              <w:jc w:val="start"/>
              <w:spacing w:before="200"/>
              <w:pStyle w:val="ImageCaption"/>
            </w:pPr>
            <w:r>
              <w:t xml:space="preserve">Table 3: Percentage of designated sites searched at matched retention of dives above 0.04 CPUE, 2019–2026. Brackets give 95% reef-year bootstrap intervals. Habitat models were withheld by reef; the evidence model used earlier seasons. Counts are pooled over evaluated reef-years, not annual vessel-time savings.</w:t>
            </w:r>
          </w:p>
          <w:tbl>
            <w:tblPr>
              <w:tblStyle w:val="Table"/>
              <w:tblW w:type="pct" w:w="5000"/>
              <w:tblLayout w:type="fixed"/>
              <w:tblLook w:firstRow="1" w:lastRow="0" w:firstColumn="0" w:lastColumn="0" w:noHBand="0" w:noVBand="0" w:val="0020"/>
            </w:tblPr>
            <w:tblGrid>
              <w:gridCol w:w="2880"/>
              <w:gridCol w:w="3085"/>
              <w:gridCol w:w="1954"/>
            </w:tblGrid>
            <w:tr>
              <w:trPr>
                <w:tblHeader w:val="on"/>
              </w:trPr>
              <w:tc>
                <w:tcPr/>
                <w:p>
                  <w:pPr>
                    <w:pStyle w:val="Compact"/>
                    <w:jc w:val="left"/>
                    <w:jc w:val="center"/>
                  </w:pPr>
                  <w:r>
                    <w:t xml:space="preserve">High-density dives retained</w:t>
                  </w:r>
                </w:p>
              </w:tc>
              <w:tc>
                <w:tcPr/>
                <w:p>
                  <w:pPr>
                    <w:pStyle w:val="Compact"/>
                    <w:jc w:val="left"/>
                    <w:jc w:val="center"/>
                  </w:pPr>
                  <w:r>
                    <w:t xml:space="preserve">Ranking</w:t>
                  </w:r>
                </w:p>
              </w:tc>
              <w:tc>
                <w:tcPr/>
                <w:p>
                  <w:pPr>
                    <w:pStyle w:val="Compact"/>
                    <w:jc w:val="left"/>
                    <w:jc w:val="center"/>
                  </w:pPr>
                  <w:r>
                    <w:t xml:space="preserve">Sites searched (%)</w:t>
                  </w:r>
                </w:p>
              </w:tc>
            </w:tr>
            <w:tr>
              <w:tc>
                <w:tcPr/>
                <w:p>
                  <w:pPr>
                    <w:pStyle w:val="Compact"/>
                    <w:jc w:val="left"/>
                    <w:jc w:val="center"/>
                  </w:pPr>
                  <w:r>
                    <w:t xml:space="preserve">95%</w:t>
                  </w:r>
                </w:p>
              </w:tc>
              <w:tc>
                <w:tcPr/>
                <w:p>
                  <w:pPr>
                    <w:pStyle w:val="Compact"/>
                    <w:jc w:val="left"/>
                    <w:jc w:val="center"/>
                  </w:pPr>
                  <w:r>
                    <w:t xml:space="preserve">Habitat + recent observations</w:t>
                  </w:r>
                </w:p>
              </w:tc>
              <w:tc>
                <w:tcPr/>
                <w:p>
                  <w:pPr>
                    <w:pStyle w:val="Compact"/>
                    <w:jc w:val="left"/>
                    <w:jc w:val="center"/>
                  </w:pPr>
                  <w:r>
                    <w:t xml:space="preserve">90.2 [85.4–93.4]</w:t>
                  </w:r>
                </w:p>
              </w:tc>
            </w:tr>
            <w:tr>
              <w:tc>
                <w:tcPr/>
                <w:p>
                  <w:pPr>
                    <w:pStyle w:val="Compact"/>
                    <w:jc w:val="left"/>
                    <w:jc w:val="center"/>
                  </w:pPr>
                  <w:r>
                    <w:t xml:space="preserve">95%</w:t>
                  </w:r>
                </w:p>
              </w:tc>
              <w:tc>
                <w:tcPr/>
                <w:p>
                  <w:pPr>
                    <w:pStyle w:val="Compact"/>
                    <w:jc w:val="left"/>
                    <w:jc w:val="center"/>
                  </w:pPr>
                  <w:r>
                    <w:t xml:space="preserve">Habitat alone</w:t>
                  </w:r>
                </w:p>
              </w:tc>
              <w:tc>
                <w:tcPr/>
                <w:p>
                  <w:pPr>
                    <w:pStyle w:val="Compact"/>
                    <w:jc w:val="left"/>
                    <w:jc w:val="center"/>
                  </w:pPr>
                  <w:r>
                    <w:t xml:space="preserve">94.0 [89.7–95.5]</w:t>
                  </w:r>
                </w:p>
              </w:tc>
            </w:tr>
            <w:tr>
              <w:tc>
                <w:tcPr/>
                <w:p>
                  <w:pPr>
                    <w:pStyle w:val="Compact"/>
                    <w:jc w:val="left"/>
                    <w:jc w:val="center"/>
                  </w:pPr>
                  <w:r>
                    <w:t xml:space="preserve">95%</w:t>
                  </w:r>
                </w:p>
              </w:tc>
              <w:tc>
                <w:tcPr/>
                <w:p>
                  <w:pPr>
                    <w:pStyle w:val="Compact"/>
                    <w:jc w:val="left"/>
                    <w:jc w:val="center"/>
                  </w:pPr>
                  <w:r>
                    <w:t xml:space="preserve">Random selection</w:t>
                  </w:r>
                </w:p>
              </w:tc>
              <w:tc>
                <w:tcPr/>
                <w:p>
                  <w:pPr>
                    <w:pStyle w:val="Compact"/>
                    <w:jc w:val="left"/>
                    <w:jc w:val="center"/>
                  </w:pPr>
                  <w:r>
                    <w:t xml:space="preserve">95.6 [95.3–95.9]</w:t>
                  </w:r>
                </w:p>
              </w:tc>
            </w:tr>
            <w:tr>
              <w:tc>
                <w:tcPr/>
                <w:p>
                  <w:pPr>
                    <w:pStyle w:val="Compact"/>
                    <w:jc w:val="left"/>
                    <w:jc w:val="center"/>
                  </w:pPr>
                  <w:r>
                    <w:t xml:space="preserve">99%</w:t>
                  </w:r>
                </w:p>
              </w:tc>
              <w:tc>
                <w:tcPr/>
                <w:p>
                  <w:pPr>
                    <w:pStyle w:val="Compact"/>
                    <w:jc w:val="left"/>
                    <w:jc w:val="center"/>
                  </w:pPr>
                  <w:r>
                    <w:t xml:space="preserve">Habitat + recent observations</w:t>
                  </w:r>
                </w:p>
              </w:tc>
              <w:tc>
                <w:tcPr/>
                <w:p>
                  <w:pPr>
                    <w:pStyle w:val="Compact"/>
                    <w:jc w:val="left"/>
                    <w:jc w:val="center"/>
                  </w:pPr>
                  <w:r>
                    <w:t xml:space="preserve">98.2 [97.2–98.7]</w:t>
                  </w:r>
                </w:p>
              </w:tc>
            </w:tr>
            <w:tr>
              <w:tc>
                <w:tcPr/>
                <w:p>
                  <w:pPr>
                    <w:pStyle w:val="Compact"/>
                    <w:jc w:val="left"/>
                    <w:jc w:val="center"/>
                  </w:pPr>
                  <w:r>
                    <w:t xml:space="preserve">99%</w:t>
                  </w:r>
                </w:p>
              </w:tc>
              <w:tc>
                <w:tcPr/>
                <w:p>
                  <w:pPr>
                    <w:pStyle w:val="Compact"/>
                    <w:jc w:val="left"/>
                    <w:jc w:val="center"/>
                  </w:pPr>
                  <w:r>
                    <w:t xml:space="preserve">Habitat alone</w:t>
                  </w:r>
                </w:p>
              </w:tc>
              <w:tc>
                <w:tcPr/>
                <w:p>
                  <w:pPr>
                    <w:pStyle w:val="Compact"/>
                    <w:jc w:val="left"/>
                    <w:jc w:val="center"/>
                  </w:pPr>
                  <w:r>
                    <w:t xml:space="preserve">98.8 [98.3–99.1]</w:t>
                  </w:r>
                </w:p>
              </w:tc>
            </w:tr>
            <w:tr>
              <w:tc>
                <w:tcPr/>
                <w:p>
                  <w:pPr>
                    <w:pStyle w:val="Compact"/>
                    <w:jc w:val="left"/>
                    <w:jc w:val="center"/>
                  </w:pPr>
                  <w:r>
                    <w:t xml:space="preserve">99%</w:t>
                  </w:r>
                </w:p>
              </w:tc>
              <w:tc>
                <w:tcPr/>
                <w:p>
                  <w:pPr>
                    <w:pStyle w:val="Compact"/>
                    <w:jc w:val="left"/>
                    <w:jc w:val="center"/>
                  </w:pPr>
                  <w:r>
                    <w:t xml:space="preserve">Random selection</w:t>
                  </w:r>
                </w:p>
              </w:tc>
              <w:tc>
                <w:tcPr/>
                <w:p>
                  <w:pPr>
                    <w:pStyle w:val="Compact"/>
                    <w:jc w:val="left"/>
                    <w:jc w:val="center"/>
                  </w:pPr>
                  <w:r>
                    <w:t xml:space="preserve">99.1 [99.1–99.2]</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high-density"/>
          <w:p>
            <w:pPr>
              <w:pStyle w:val="Compact"/>
              <w:jc w:val="center"/>
            </w:pPr>
            <w:r>
              <w:drawing>
                <wp:inline>
                  <wp:extent cx="5727700" cy="3818466"/>
                  <wp:effectExtent b="0" l="0" r="0" t="0"/>
                  <wp:docPr descr="" title="" id="36" name="Picture"/>
                  <a:graphic>
                    <a:graphicData uri="http://schemas.openxmlformats.org/drawingml/2006/picture">
                      <pic:pic>
                        <pic:nvPicPr>
                          <pic:cNvPr descr="../outputs/figures/fig20_high_density_retention.png" id="37" name="Picture"/>
                          <pic:cNvPicPr>
                            <a:picLocks noChangeArrowheads="1" noChangeAspect="1"/>
                          </pic:cNvPicPr>
                        </pic:nvPicPr>
                        <pic:blipFill>
                          <a:blip r:embed="rId35"/>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Retention of observed dives above 0.04 CPUE against actual designated site-years searched, using the existing forward evidence rankings. Random selection has the same site count on each reef. Shading shows 95% reef-year bootstrap intervals; dotted horizontal lines mark 95% and 99% retention. Habitat fits were held out by reef, while the evidence regression used earlier seasons.</w:t>
            </w:r>
          </w:p>
          <w:bookmarkEnd w:id="38"/>
        </w:tc>
      </w:tr>
    </w:tbl>
    <w:bookmarkEnd w:id="39"/>
    <w:bookmarkStart w:id="40" w:name="sec-sources"/>
    <w:p>
      <w:pPr>
        <w:pStyle w:val="Heading3"/>
      </w:pPr>
      <w:r>
        <w:t xml:space="preserve">3.1.2 Habitat supplies a first search order where recent observations are missing</w:t>
      </w:r>
    </w:p>
    <w:p>
      <w:pPr>
        <w:pStyle w:val="FirstParagraph"/>
      </w:pPr>
      <w:r>
        <w:t xml:space="preserve">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p>
    <w:bookmarkEnd w:id="40"/>
    <w:bookmarkEnd w:id="41"/>
    <w:bookmarkStart w:id="46" w:name="sec-manta"/>
    <w:p>
      <w:pPr>
        <w:pStyle w:val="Heading2"/>
      </w:pPr>
      <w:r>
        <w:t xml:space="preserve">3.2 Evenly spaced manta tows retain better coverage</w:t>
      </w:r>
    </w:p>
    <w:p>
      <w:pPr>
        <w:pStyle w:val="FirstParagraph"/>
      </w:pPr>
      <w:r>
        <w:t xml:space="preserve">Evenly spaced thinning retained more observed aggregations than selecting tows by habitat rank (</w:t>
      </w:r>
      <w:hyperlink w:anchor="fig-aggregations">
        <w:r>
          <w:rPr>
            <w:rStyle w:val="Hyperlink"/>
          </w:rPr>
          <w:t xml:space="preserve">Figure 2</w:t>
        </w:r>
      </w:hyperlink>
      <w:r>
        <w:t xml:space="preserve">). With 60% of tows kept, it detected 96.6% (95% CI 96.2%–97.0%) of 1,900 aggregations in 1,082 surveys. Random selection detected 94.0% (95% CI 93.7%–94.4%), and the habitat ranking fitted to cull records detected 88.1% (95% CI 86.6%–89.5%).</w:t>
      </w:r>
    </w:p>
    <w:p>
      <w:pPr>
        <w:pStyle w:val="BodyText"/>
      </w:pPr>
      <w:r>
        <w:t xml:space="preserve">The manta-based habitat model ranked tow observations better than the cull-based alternatives, but did not outperform evenly spaced thinning for retaining aggregations. Concentrating tows in highly ranked areas could leave whole aggregations elsewhere undetected. These results support maintaining spatial coverage when reducing existing surveys; they do not establish the performance of a new route. The alternative models and full thinning curves are documented in Appendix H.</w:t>
      </w:r>
    </w:p>
    <w:tbl>
      <w:tblPr>
        <w:tblStyle w:val="Table"/>
        <w:tblW w:type="pct" w:w="5000"/>
        <w:tblLayout w:type="fixed"/>
        <w:tblLook w:firstRow="0" w:lastRow="0" w:firstColumn="0" w:lastColumn="0" w:noHBand="0" w:noVBand="0" w:val="0000"/>
      </w:tblPr>
      <w:tblGrid>
        <w:gridCol w:w="7920"/>
      </w:tblGrid>
      <w:tr>
        <w:tc>
          <w:tcPr/>
          <w:bookmarkStart w:id="45" w:name="fig-aggregations"/>
          <w:p>
            <w:pPr>
              <w:pStyle w:val="Compact"/>
              <w:jc w:val="center"/>
            </w:pPr>
            <w:r>
              <w:drawing>
                <wp:inline>
                  <wp:extent cx="5727700" cy="3665727"/>
                  <wp:effectExtent b="0" l="0" r="0" t="0"/>
                  <wp:docPr descr="" title="" id="43" name="Picture"/>
                  <a:graphic>
                    <a:graphicData uri="http://schemas.openxmlformats.org/drawingml/2006/picture">
                      <pic:pic>
                        <pic:nvPicPr>
                          <pic:cNvPr descr="../outputs/figures/fig21_manta_surveillance_highlight.png" id="44" name="Picture"/>
                          <pic:cNvPicPr>
                            <a:picLocks noChangeArrowheads="1" noChangeAspect="1"/>
                          </pic:cNvPicPr>
                        </pic:nvPicPr>
                        <pic:blipFill>
                          <a:blip r:embed="rId42"/>
                          <a:stretch>
                            <a:fillRect/>
                          </a:stretch>
                        </pic:blipFill>
                        <pic:spPr bwMode="auto">
                          <a:xfrm>
                            <a:off x="0" y="0"/>
                            <a:ext cx="5727700" cy="36657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COTS aggregations retained when the same number of tows is kept by each strategy. Habitat priority uses the annual model fitted to cull records, tested without the reef being scored. Evenly spaced tows preserve broader coverage. Shading gives 95% confidence intervals from resampling surveys; the horizontal line marks 95% retention. This tests thinning of recorded surveys, not new routes.</w:t>
            </w:r>
          </w:p>
          <w:bookmarkEnd w:id="45"/>
        </w:tc>
      </w:tr>
    </w:tbl>
    <w:bookmarkEnd w:id="46"/>
    <w:bookmarkStart w:id="51" w:name="X336895b4d6b592c937cb720f85ebb3ecf86b9ac"/>
    <w:p>
      <w:pPr>
        <w:pStyle w:val="Heading2"/>
      </w:pPr>
      <w:r>
        <w:t xml:space="preserve">3.3 The 2027 products combine priorities with exploration</w:t>
      </w:r>
    </w:p>
    <w:p>
      <w:pPr>
        <w:pStyle w:val="FirstParagraph"/>
      </w:pPr>
      <w:r>
        <w:t xml:space="preserve">The delivered ranking covers 15,884 designated sites on 576 reefs. Its map shows search priority and the recent evidence behind each site. Four classes organise the search order; they do not establish when it is safe to stop. In the retrospective test, stopping after the highest-ranked 80% retained 89.7% (95% CI 86.4%–92.7%) of &gt;0.04 dives. Appendix H gives outcomes for every class cutoff.</w:t>
      </w:r>
    </w:p>
    <w:p>
      <w:pPr>
        <w:pStyle w:val="BodyText"/>
      </w:pPr>
      <w:r>
        <w:t xml:space="preserve">The product also identifies 3,807 exploration areas on 488 reefs, outside designated sites and recent tow paths (</w:t>
      </w:r>
      <w:hyperlink w:anchor="fig-2027">
        <w:r>
          <w:rPr>
            <w:rStyle w:val="Hyperlink"/>
          </w:rPr>
          <w:t xml:space="preserve">Figure 3</w:t>
        </w:r>
      </w:hyperlink>
      <w:r>
        <w:t xml:space="preserve">). These allow planners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measured.</w:t>
      </w:r>
    </w:p>
    <w:tbl>
      <w:tblPr>
        <w:tblStyle w:val="Table"/>
        <w:tblW w:type="pct" w:w="5000"/>
        <w:tblLayout w:type="fixed"/>
        <w:tblLook w:firstRow="0" w:lastRow="0" w:firstColumn="0" w:lastColumn="0" w:noHBand="0" w:noVBand="0" w:val="0000"/>
      </w:tblPr>
      <w:tblGrid>
        <w:gridCol w:w="7920"/>
      </w:tblGrid>
      <w:tr>
        <w:tc>
          <w:tcPr/>
          <w:bookmarkStart w:id="50" w:name="fig-2027"/>
          <w:p>
            <w:pPr>
              <w:pStyle w:val="Compact"/>
              <w:jc w:val="center"/>
            </w:pPr>
            <w:r>
              <w:drawing>
                <wp:inline>
                  <wp:extent cx="5727700" cy="4123944"/>
                  <wp:effectExtent b="0" l="0" r="0" t="0"/>
                  <wp:docPr descr="" title="" id="48" name="Picture"/>
                  <a:graphic>
                    <a:graphicData uri="http://schemas.openxmlformats.org/drawingml/2006/picture">
                      <pic:pic>
                        <pic:nvPicPr>
                          <pic:cNvPr descr="../outputs/figures/fig17_search_2027_exploration.png" id="49" name="Picture"/>
                          <pic:cNvPicPr>
                            <a:picLocks noChangeArrowheads="1" noChangeAspect="1"/>
                          </pic:cNvPicPr>
                        </pic:nvPicPr>
                        <pic:blipFill>
                          <a:blip r:embed="rId47"/>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50"/>
        </w:tc>
      </w:tr>
    </w:tbl>
    <w:bookmarkEnd w:id="51"/>
    <w:bookmarkStart w:id="56" w:name="sec-metacommunity-results"/>
    <w:p>
      <w:pPr>
        <w:pStyle w:val="Heading2"/>
      </w:pPr>
      <w:r>
        <w:t xml:space="preserve">3.4 Historical COTS and coral dynamics provide a basis for testing control strategies</w:t>
      </w:r>
    </w:p>
    <w:p>
      <w:pPr>
        <w:pStyle w:val="FirstParagraph"/>
      </w:pPr>
      <w:r>
        <w:t xml:space="preserve">The updated metacommunity model reproduced the broad sequence of historical irruption waves and coral decline and recovery on the four calibration reefs (</w:t>
      </w:r>
      <w:hyperlink w:anchor="fig-metacommunity-cots-coral">
        <w:r>
          <w:rPr>
            <w:rStyle w:val="Hyperlink"/>
          </w:rPr>
          <w:t xml:space="preserve">Figure 4</w:t>
        </w:r>
      </w:hyperlink>
      <w:r>
        <w:t xml:space="preserve">). The 21 October runs incorporated revised coral responses, wave-dependent larval settlement and a larger initial share of fast-growing coral at Lizard Island. The comparison used 5 random-seed pairs, with additional parameter tests giving 65 runs each with and without recorded culling. Lizard Island’s first COTS peak remained too small, and coral trajectories differed from the surveys in some periods. Manta and photo-transect coral estimates also differed because they sampled different parts of the reef.</w:t>
      </w:r>
    </w:p>
    <w:p>
      <w:pPr>
        <w:pStyle w:val="BodyText"/>
      </w:pPr>
      <w:r>
        <w:t xml:space="preserve">Recent simulated densities were closer to diver observations than in the earlier calibration, although agreement varied among reefs. The model still exceeded recent manta observations on several reefs, and the corrected outside larval supply shared evidence with the diver-based assessment. The paired culling trajectories therefore demonstrate the model’s response to recorded removals; they do not yet provide an independently validated estimate of the program’s impact since 2012.</w:t>
      </w:r>
    </w:p>
    <w:p>
      <w:pPr>
        <w:pStyle w:val="BodyText"/>
      </w:pPr>
      <w:r>
        <w:t xml:space="preserve">Exploratory projections now compare continued, increased and reallocated diver effort through 2050. Increased effort reduced the simulated near-term COTS peaks, but coral gains varied with reef and climate pathway. Appendix I presents these scenarios alongside recent-density and additional-reef checks. The near-term projections inherit uncertainty in the 2026 population and outside larval supply; they support refining fifth-wave suppression experiments, rather than choosing an operational strategy yet.</w:t>
      </w:r>
    </w:p>
    <w:tbl>
      <w:tblPr>
        <w:tblStyle w:val="Table"/>
        <w:tblW w:type="pct" w:w="5000"/>
        <w:tblLayout w:type="fixed"/>
        <w:tblLook w:firstRow="0" w:lastRow="0" w:firstColumn="0" w:lastColumn="0" w:noHBand="0" w:noVBand="0" w:val="0000"/>
      </w:tblPr>
      <w:tblGrid>
        <w:gridCol w:w="7920"/>
      </w:tblGrid>
      <w:tr>
        <w:tc>
          <w:tcPr/>
          <w:bookmarkStart w:id="55" w:name="fig-metacommunity-cots-coral"/>
          <w:p>
            <w:pPr>
              <w:pStyle w:val="Compact"/>
              <w:jc w:val="center"/>
            </w:pPr>
            <w:r>
              <w:drawing>
                <wp:inline>
                  <wp:extent cx="5727700" cy="6320220"/>
                  <wp:effectExtent b="0" l="0" r="0" t="0"/>
                  <wp:docPr descr="" title="" id="53" name="Picture"/>
                  <a:graphic>
                    <a:graphicData uri="http://schemas.openxmlformats.org/drawingml/2006/picture">
                      <pic:pic>
                        <pic:nvPicPr>
                          <pic:cNvPr descr="../outputs/figures/fig22_metacommunity_cots_coral.png" id="54" name="Picture"/>
                          <pic:cNvPicPr>
                            <a:picLocks noChangeArrowheads="1" noChangeAspect="1"/>
                          </pic:cNvPicPr>
                        </pic:nvPicPr>
                        <pic:blipFill>
                          <a:blip r:embed="rId52"/>
                          <a:stretch>
                            <a:fillRect/>
                          </a:stretch>
                        </pic:blipFill>
                        <pic:spPr bwMode="auto">
                          <a:xfrm>
                            <a:off x="0" y="0"/>
                            <a:ext cx="5727700" cy="63202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p>
          <w:bookmarkEnd w:id="55"/>
        </w:tc>
      </w:tr>
    </w:tbl>
    <w:bookmarkEnd w:id="56"/>
    <w:bookmarkEnd w:id="57"/>
    <w:bookmarkStart w:id="63" w:name="implications-for-management"/>
    <w:p>
      <w:pPr>
        <w:pStyle w:val="Heading1"/>
      </w:pPr>
      <w:r>
        <w:t xml:space="preserve">4. Implications for management</w:t>
      </w:r>
    </w:p>
    <w:bookmarkStart w:id="58"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new &gt;0.04 evaluation shows that requiring near-complete retention leaves little scope for reducing searches. Earlier ≥0.02 examples often retained only 80% or 90% of problematic dives, so their savings cannot be carried over to a near-complete-retention criterion. A 95% retention target still omits one in twenty observed high-density dives, while 99% retention requires almost all sites to be searched. These are alternative decision thresholds, not evidence that either omission rate is negligible. The benefits of added exploration and annual checks must be measured alongside these trade-offs.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bookmarkEnd w:id="58"/>
    <w:bookmarkStart w:id="59"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bookmarkEnd w:id="59"/>
    <w:bookmarkStart w:id="60"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irruption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60"/>
    <w:bookmarkStart w:id="61" w:name="Xb39c15292b69b3d2f8a89f499d855851bf0aceb"/>
    <w:p>
      <w:pPr>
        <w:pStyle w:val="Heading2"/>
      </w:pPr>
      <w:r>
        <w:t xml:space="preserve">4.4 Projecting suppression of the fifth primary irruption wave</w:t>
      </w:r>
    </w:p>
    <w:p>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irruption. This question differs from protecting coral at individual reefs after secondary irruptions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agreed with program partners.]</w:t>
      </w:r>
    </w:p>
    <w:bookmarkEnd w:id="61"/>
    <w:bookmarkStart w:id="62" w:name="monitoring-operational-performance"/>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17</w:t>
        </w:r>
      </w:hyperlink>
      <w:r>
        <w:t xml:space="preserve">. The original class expectations use ≥0.02 COTS per minute of bottom time. The separate &gt;0.04 reassessment (</w:t>
      </w:r>
      <w:hyperlink w:anchor="sec-high-density">
        <w:r>
          <w:rPr>
            <w:rStyle w:val="Hyperlink"/>
          </w:rPr>
          <w:t xml:space="preserve">Section 3.1.1</w:t>
        </w:r>
      </w:hyperlink>
      <w:r>
        <w:t xml:space="preserve">) supplies the more relevant high-density trade-offs, but neither retrospective test establishes what will be found in the trial or at unvisited sites.</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pPr>
        <w:pStyle w:val="BodyText"/>
      </w:pPr>
      <w:r>
        <w:t xml:space="preserve">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62"/>
    <w:bookmarkEnd w:id="63"/>
    <w:bookmarkStart w:id="64"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assumptions and held-out performance have been assessed.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64"/>
    <w:bookmarkStart w:id="65" w:name="recommendations-and-next-steps"/>
    <w:p>
      <w:pPr>
        <w:pStyle w:val="Heading1"/>
      </w:pPr>
      <w:r>
        <w:t xml:space="preserve">6. Recommendations and next steps</w:t>
      </w:r>
    </w:p>
    <w:p>
      <w:pPr>
        <w:pStyle w:val="Compact"/>
        <w:numPr>
          <w:ilvl w:val="0"/>
          <w:numId w:val="1007"/>
        </w:numPr>
      </w:pPr>
      <w:r>
        <w:t xml:space="preserve">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pPr>
        <w:pStyle w:val="Compact"/>
        <w:numPr>
          <w:ilvl w:val="0"/>
          <w:numId w:val="1007"/>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07"/>
        </w:numPr>
      </w:pPr>
      <w:r>
        <w:t xml:space="preserve">Trial a small number of exploration areas per reef visit and record outcomes, including nil results, so that the evidence base can expand beyond familiar sites.</w:t>
      </w:r>
    </w:p>
    <w:p>
      <w:pPr>
        <w:pStyle w:val="Compact"/>
        <w:numPr>
          <w:ilvl w:val="0"/>
          <w:numId w:val="1007"/>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07"/>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07"/>
        </w:numPr>
      </w:pPr>
      <w:r>
        <w:t xml:space="preserve">Obtain survey-effort information for additional observation sources, including ReefScan, to support independent assessment beyond places selected for cull dives.</w:t>
      </w:r>
    </w:p>
    <w:p>
      <w:pPr>
        <w:pStyle w:val="Compact"/>
        <w:numPr>
          <w:ilvl w:val="0"/>
          <w:numId w:val="1007"/>
        </w:numPr>
      </w:pPr>
      <w:r>
        <w:t xml:space="preserve">Resolve the recent COTS population mismatch and complete independent validation of the metacommunity model before estimating the program’s impact from 2012 to the present.</w:t>
      </w:r>
    </w:p>
    <w:p>
      <w:pPr>
        <w:pStyle w:val="Compact"/>
        <w:numPr>
          <w:ilvl w:val="0"/>
          <w:numId w:val="1007"/>
        </w:numPr>
      </w:pPr>
      <w:r>
        <w:t xml:space="preserve">Extend the paired historical culling diagnostics to a complete program-impact assessment, reporting effects on COTS populations, larval export and coral trajectories, with the limits imposed by the external boundary stated explicitly.</w:t>
      </w:r>
    </w:p>
    <w:p>
      <w:pPr>
        <w:pStyle w:val="Compact"/>
        <w:numPr>
          <w:ilvl w:val="0"/>
          <w:numId w:val="1007"/>
        </w:numPr>
      </w:pPr>
      <w:r>
        <w:t xml:space="preserve">Refine the exploratory fifth-wave projections under agreed effort budgets, climate conditions and starting and stopping rules. Test the recent population state and outside supply assumptions, and report domain-wide as well as local coral consequences.</w:t>
      </w:r>
    </w:p>
    <w:p>
      <w:pPr>
        <w:pStyle w:val="Compact"/>
        <w:numPr>
          <w:ilvl w:val="0"/>
          <w:numId w:val="1007"/>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65"/>
    <w:bookmarkStart w:id="66"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66"/>
    <w:bookmarkStart w:id="131" w:name="references"/>
    <w:p>
      <w:pPr>
        <w:pStyle w:val="Heading1"/>
      </w:pPr>
      <w:r>
        <w:t xml:space="preserve">References</w:t>
      </w:r>
    </w:p>
    <w:bookmarkStart w:id="130" w:name="refs"/>
    <w:bookmarkStart w:id="68" w:name="ref-bainbridge2024reefscan"/>
    <w:p>
      <w:pPr>
        <w:pStyle w:val="Bibliography"/>
      </w:pPr>
      <w:r>
        <w:t xml:space="preserve">Bainbridge, S., and Coleman, G. (2024). ReefScan transom. Standard operating procedure number 15 (v1.08). Townsville: Australian Institute of Marine Science. doi:</w:t>
      </w:r>
      <w:r>
        <w:t xml:space="preserve"> </w:t>
      </w:r>
      <w:hyperlink r:id="rId67">
        <w:r>
          <w:rPr>
            <w:rStyle w:val="Hyperlink"/>
          </w:rPr>
          <w:t xml:space="preserve">10.25845/HD2Z-KM55</w:t>
        </w:r>
      </w:hyperlink>
    </w:p>
    <w:bookmarkEnd w:id="68"/>
    <w:bookmarkStart w:id="70" w:name="ref-beeden2014rhis"/>
    <w:p>
      <w:pPr>
        <w:pStyle w:val="Bibliography"/>
      </w:pPr>
      <w:r>
        <w:t xml:space="preserve">Beeden, R. J., Turner, M. A., Dryden, J., Merida, F., Goudkamp, K., Malone, C., et al. (2014). Rapid survey protocol that provides dynamic information on reef condition to managers of the great barrier reef.</w:t>
      </w:r>
      <w:r>
        <w:t xml:space="preserve"> </w:t>
      </w:r>
      <w:r>
        <w:rPr>
          <w:i/>
          <w:iCs/>
        </w:rPr>
        <w:t xml:space="preserve">Environmental Monitoring and Assessment</w:t>
      </w:r>
      <w:r>
        <w:t xml:space="preserve"> </w:t>
      </w:r>
      <w:r>
        <w:t xml:space="preserve">186, 8527–8540. doi:</w:t>
      </w:r>
      <w:r>
        <w:t xml:space="preserve"> </w:t>
      </w:r>
      <w:hyperlink r:id="rId69">
        <w:r>
          <w:rPr>
            <w:rStyle w:val="Hyperlink"/>
          </w:rPr>
          <w:t xml:space="preserve">10.1007/s10661-014-4022-0</w:t>
        </w:r>
      </w:hyperlink>
    </w:p>
    <w:bookmarkEnd w:id="70"/>
    <w:bookmarkStart w:id="72"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71">
        <w:r>
          <w:rPr>
            <w:rStyle w:val="Hyperlink"/>
          </w:rPr>
          <w:t xml:space="preserve">10.1002/ecm.1494</w:t>
        </w:r>
      </w:hyperlink>
    </w:p>
    <w:bookmarkEnd w:id="72"/>
    <w:bookmarkStart w:id="74" w:name="ref-chandler2023densities"/>
    <w:p>
      <w:pPr>
        <w:pStyle w:val="Bibliography"/>
      </w:pPr>
      <w:r>
        <w:t xml:space="preserve">Chandler, J. F., Burn, D., Caballes, C. F., Doll, P. C., Kwong, S. L. T., Lang, B. J., et al. (2023). Increasing densities of pacific crown-of-thorns starfish (acanthaster cf. Solaris) at lizard island, northern great barrier reef, resolved using a novel survey method.</w:t>
      </w:r>
      <w:r>
        <w:t xml:space="preserve"> </w:t>
      </w:r>
      <w:r>
        <w:rPr>
          <w:i/>
          <w:iCs/>
        </w:rPr>
        <w:t xml:space="preserve">Scientific Reports</w:t>
      </w:r>
      <w:r>
        <w:t xml:space="preserve"> </w:t>
      </w:r>
      <w:r>
        <w:t xml:space="preserve">13, 19306. doi:</w:t>
      </w:r>
      <w:r>
        <w:t xml:space="preserve"> </w:t>
      </w:r>
      <w:hyperlink r:id="rId73">
        <w:r>
          <w:rPr>
            <w:rStyle w:val="Hyperlink"/>
          </w:rPr>
          <w:t xml:space="preserve">10.1038/s41598-023-46749-x</w:t>
        </w:r>
      </w:hyperlink>
    </w:p>
    <w:bookmarkEnd w:id="74"/>
    <w:bookmarkStart w:id="76"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75">
        <w:r>
          <w:rPr>
            <w:rStyle w:val="Hyperlink"/>
          </w:rPr>
          <w:t xml:space="preserve">10.1145/2939672.2939785</w:t>
        </w:r>
      </w:hyperlink>
    </w:p>
    <w:bookmarkEnd w:id="76"/>
    <w:bookmarkStart w:id="78"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77">
        <w:r>
          <w:rPr>
            <w:rStyle w:val="Hyperlink"/>
          </w:rPr>
          <w:t xml:space="preserve">10.1098/rsos.201296</w:t>
        </w:r>
      </w:hyperlink>
    </w:p>
    <w:bookmarkEnd w:id="78"/>
    <w:bookmarkStart w:id="80"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79">
        <w:r>
          <w:rPr>
            <w:rStyle w:val="Hyperlink"/>
          </w:rPr>
          <w:t xml:space="preserve">10.64898/2026.04.13.718315</w:t>
        </w:r>
      </w:hyperlink>
    </w:p>
    <w:bookmarkEnd w:id="80"/>
    <w:bookmarkStart w:id="82"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81">
        <w:r>
          <w:rPr>
            <w:rStyle w:val="Hyperlink"/>
          </w:rPr>
          <w:t xml:space="preserve">10.1073/pnas.1208909109</w:t>
        </w:r>
      </w:hyperlink>
    </w:p>
    <w:bookmarkEnd w:id="82"/>
    <w:bookmarkStart w:id="84" w:name="ref-fletcher2020strategy"/>
    <w:p>
      <w:pPr>
        <w:pStyle w:val="Bibliography"/>
      </w:pPr>
      <w:r>
        <w:t xml:space="preserve">Fletcher, C. S., Bonin, M. C., and Westcott, D. A. (2020). An ecologically-based operational strategy for COTS control: Integrated decision making from the site to the regional scale. Cairns: Reef; Rainforest Research Centre Limited. Available at:</w:t>
      </w:r>
      <w:r>
        <w:t xml:space="preserve"> </w:t>
      </w:r>
      <w:hyperlink r:id="rId83">
        <w:r>
          <w:rPr>
            <w:rStyle w:val="Hyperlink"/>
          </w:rPr>
          <w:t xml:space="preserve">https://nesptropical.edu.au/wp-content/uploads/2020/04/NESP-TWQ-Project-3.1.1-Technical-Report-2.pdf</w:t>
        </w:r>
      </w:hyperlink>
    </w:p>
    <w:bookmarkEnd w:id="84"/>
    <w:bookmarkStart w:id="86" w:name="ref-gbrmpabathymetry2021"/>
    <w:p>
      <w:pPr>
        <w:pStyle w:val="Bibliography"/>
      </w:pPr>
      <w:r>
        <w:t xml:space="preserve">Great Barrier Reef Marine Park Authority (2021a).</w:t>
      </w:r>
      <w:r>
        <w:t xml:space="preserve"> </w:t>
      </w:r>
      <w:r>
        <w:t xml:space="preserve">GBR10 GBRMP Bathymetry</w:t>
      </w:r>
      <w:r>
        <w:t xml:space="preserve">. Available at:</w:t>
      </w:r>
      <w:r>
        <w:t xml:space="preserve"> </w:t>
      </w:r>
      <w:hyperlink r:id="rId85">
        <w:r>
          <w:rPr>
            <w:rStyle w:val="Hyperlink"/>
          </w:rPr>
          <w:t xml:space="preserve">https://tiles-ap1.arcgis.com/8gXWSCxaJlFIfiTr/arcgis/rest/services/GBR10_GBRMP_Bathymetry/MapServer</w:t>
        </w:r>
      </w:hyperlink>
    </w:p>
    <w:bookmarkEnd w:id="86"/>
    <w:bookmarkStart w:id="88" w:name="ref-gbrmpageomorphic2021"/>
    <w:p>
      <w:pPr>
        <w:pStyle w:val="Bibliography"/>
      </w:pPr>
      <w:r>
        <w:t xml:space="preserve">Great Barrier Reef Marine Park Authority (2021b).</w:t>
      </w:r>
      <w:r>
        <w:t xml:space="preserve"> </w:t>
      </w:r>
      <w:r>
        <w:t xml:space="preserve">GBR10 GBRMP Geomorphic</w:t>
      </w:r>
      <w:r>
        <w:t xml:space="preserve">. Available at:</w:t>
      </w:r>
      <w:r>
        <w:t xml:space="preserve"> </w:t>
      </w:r>
      <w:hyperlink r:id="rId87">
        <w:r>
          <w:rPr>
            <w:rStyle w:val="Hyperlink"/>
          </w:rPr>
          <w:t xml:space="preserve">https://reef-geohub-ext-geohubgbrmpa.hub.arcgis.com/maps/2621ac24d749409395d7bb1dfdec5d5c/explore</w:t>
        </w:r>
      </w:hyperlink>
    </w:p>
    <w:bookmarkEnd w:id="88"/>
    <w:bookmarkStart w:id="90" w:name="ref-gbrmpadashboard2026"/>
    <w:p>
      <w:pPr>
        <w:pStyle w:val="Bibliography"/>
      </w:pPr>
      <w:r>
        <w:t xml:space="preserve">Great Barrier Reef Marine Park Authority (2026). Crown-of-thorns starfish control program dashboard. Available at:</w:t>
      </w:r>
      <w:r>
        <w:t xml:space="preserve"> </w:t>
      </w:r>
      <w:hyperlink r:id="rId89">
        <w:r>
          <w:rPr>
            <w:rStyle w:val="Hyperlink"/>
          </w:rPr>
          <w:t xml:space="preserve">https://www.gbrmpa.gov.au/our-work/programs-and-projects/crown-thorns-starfish-management/crown-thorns-starfish-control-program-dashboard</w:t>
        </w:r>
      </w:hyperlink>
      <w:r>
        <w:t xml:space="preserve"> </w:t>
      </w:r>
      <w:r>
        <w:t xml:space="preserve">(Accessed October 16, 2026).</w:t>
      </w:r>
    </w:p>
    <w:bookmarkEnd w:id="90"/>
    <w:bookmarkStart w:id="92"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91">
        <w:r>
          <w:rPr>
            <w:rStyle w:val="Hyperlink"/>
          </w:rPr>
          <w:t xml:space="preserve">10.1002/ece3.71292</w:t>
        </w:r>
      </w:hyperlink>
    </w:p>
    <w:bookmarkEnd w:id="92"/>
    <w:bookmarkStart w:id="94" w:name="ref-matthews2025intelligence"/>
    <w:p>
      <w:pPr>
        <w:pStyle w:val="Bibliography"/>
      </w:pPr>
      <w:r>
        <w:t xml:space="preserve">Matthews, S. A., Beeden, R., Bonin, M. C., Mellin, C., Pratchett, M. S., Ryan, I., et al. (2025). From business intelligence to conservation intelligence: Operationalising adaptive pest control to protect the resilience of the great barrier reef. doi:</w:t>
      </w:r>
      <w:r>
        <w:t xml:space="preserve"> </w:t>
      </w:r>
      <w:hyperlink r:id="rId93">
        <w:r>
          <w:rPr>
            <w:rStyle w:val="Hyperlink"/>
          </w:rPr>
          <w:t xml:space="preserve">10.32942/X2HD3J</w:t>
        </w:r>
      </w:hyperlink>
    </w:p>
    <w:bookmarkEnd w:id="94"/>
    <w:bookmarkStart w:id="96"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95">
        <w:r>
          <w:rPr>
            <w:rStyle w:val="Hyperlink"/>
          </w:rPr>
          <w:t xml:space="preserve">10.1016/bs.amb.2020.08.007</w:t>
        </w:r>
      </w:hyperlink>
    </w:p>
    <w:bookmarkEnd w:id="96"/>
    <w:bookmarkStart w:id="98"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97">
        <w:r>
          <w:rPr>
            <w:rStyle w:val="Hyperlink"/>
          </w:rPr>
          <w:t xml:space="preserve">10.1016/bs.amb.2020.09.001</w:t>
        </w:r>
      </w:hyperlink>
    </w:p>
    <w:bookmarkEnd w:id="98"/>
    <w:bookmarkStart w:id="100"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99">
        <w:r>
          <w:rPr>
            <w:rStyle w:val="Hyperlink"/>
          </w:rPr>
          <w:t xml:space="preserve">10.1371/journal.pone.0298073</w:t>
        </w:r>
      </w:hyperlink>
    </w:p>
    <w:bookmarkEnd w:id="100"/>
    <w:bookmarkStart w:id="102"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01">
        <w:r>
          <w:rPr>
            <w:rStyle w:val="Hyperlink"/>
          </w:rPr>
          <w:t xml:space="preserve">10.3354/meps10858</w:t>
        </w:r>
      </w:hyperlink>
    </w:p>
    <w:bookmarkEnd w:id="102"/>
    <w:bookmarkStart w:id="104" w:name="ref-adriacalibrationreport2026"/>
    <w:p>
      <w:pPr>
        <w:pStyle w:val="Bibliography"/>
      </w:pPr>
      <w:r>
        <w:t xml:space="preserve">open-AIMS (2026a).</w:t>
      </w:r>
      <w:r>
        <w:t xml:space="preserve"> </w:t>
      </w:r>
      <w:r>
        <w:t xml:space="preserve">ADRIA.jl</w:t>
      </w:r>
      <w:r>
        <w:t xml:space="preserve">: COTS calibration and exploratory effort-based projections. Available at:</w:t>
      </w:r>
      <w:r>
        <w:t xml:space="preserve"> </w:t>
      </w:r>
      <w:hyperlink r:id="rId103">
        <w:r>
          <w:rPr>
            <w:rStyle w:val="Hyperlink"/>
          </w:rPr>
          <w:t xml:space="preserve">https://github.com/open-AIMS/ADRIA.jl</w:t>
        </w:r>
      </w:hyperlink>
    </w:p>
    <w:bookmarkEnd w:id="104"/>
    <w:bookmarkStart w:id="105" w:name="ref-adriamethods2026"/>
    <w:p>
      <w:pPr>
        <w:pStyle w:val="Bibliography"/>
      </w:pPr>
      <w:r>
        <w:t xml:space="preserve">open-AIMS (2026b).</w:t>
      </w:r>
      <w:r>
        <w:t xml:space="preserve"> </w:t>
      </w:r>
      <w:r>
        <w:t xml:space="preserve">ADRIA.jl</w:t>
      </w:r>
      <w:r>
        <w:t xml:space="preserve">: COTS calibration and historical culling workflow. Available at:</w:t>
      </w:r>
      <w:r>
        <w:t xml:space="preserve"> </w:t>
      </w:r>
      <w:hyperlink r:id="rId103">
        <w:r>
          <w:rPr>
            <w:rStyle w:val="Hyperlink"/>
          </w:rPr>
          <w:t xml:space="preserve">https://github.com/open-AIMS/ADRIA.jl</w:t>
        </w:r>
      </w:hyperlink>
    </w:p>
    <w:bookmarkEnd w:id="105"/>
    <w:bookmarkStart w:id="107" w:name="ref-cotsmodmethods2026"/>
    <w:p>
      <w:pPr>
        <w:pStyle w:val="Bibliography"/>
      </w:pPr>
      <w:r>
        <w:t xml:space="preserve">open-AIMS (2026c).</w:t>
      </w:r>
      <w:r>
        <w:t xml:space="preserve"> </w:t>
      </w:r>
      <w:r>
        <w:t xml:space="preserve">COTSMod.jl</w:t>
      </w:r>
      <w:r>
        <w:t xml:space="preserve">: Population dynamics and observed cull removals. Available at:</w:t>
      </w:r>
      <w:r>
        <w:t xml:space="preserve"> </w:t>
      </w:r>
      <w:hyperlink r:id="rId106">
        <w:r>
          <w:rPr>
            <w:rStyle w:val="Hyperlink"/>
          </w:rPr>
          <w:t xml:space="preserve">https://github.com/open-AIMS/COTSMod.jl</w:t>
        </w:r>
      </w:hyperlink>
    </w:p>
    <w:bookmarkEnd w:id="107"/>
    <w:bookmarkStart w:id="109" w:name="ref-reefguide2026"/>
    <w:p>
      <w:pPr>
        <w:pStyle w:val="Bibliography"/>
      </w:pPr>
      <w:r>
        <w:t xml:space="preserve">open-AIMS (n.d.).</w:t>
      </w:r>
      <w:r>
        <w:t xml:space="preserve"> </w:t>
      </w:r>
      <w:r>
        <w:t xml:space="preserve">ReefGuide.jl</w:t>
      </w:r>
      <w:r>
        <w:t xml:space="preserve">: Regional and suitability assessment functions. Available at:</w:t>
      </w:r>
      <w:r>
        <w:t xml:space="preserve"> </w:t>
      </w:r>
      <w:hyperlink r:id="rId108">
        <w:r>
          <w:rPr>
            <w:rStyle w:val="Hyperlink"/>
          </w:rPr>
          <w:t xml:space="preserve">https://github.com/open-AIMS/ReefGuide.jl</w:t>
        </w:r>
      </w:hyperlink>
    </w:p>
    <w:bookmarkEnd w:id="109"/>
    <w:bookmarkStart w:id="111"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10">
        <w:r>
          <w:rPr>
            <w:rStyle w:val="Hyperlink"/>
          </w:rPr>
          <w:t xml:space="preserve">10.1111/ele.12757</w:t>
        </w:r>
      </w:hyperlink>
    </w:p>
    <w:bookmarkEnd w:id="111"/>
    <w:bookmarkStart w:id="113" w:name="ref-plaganyi2020targets"/>
    <w:p>
      <w:pPr>
        <w:pStyle w:val="Bibliography"/>
      </w:pPr>
      <w:r>
        <w:t xml:space="preserve">Plagányi, É. E., Babcock, R. C., Rogers, J., Bonin, M., and Morello, E. B. (2020). Ecological analyses to inform management targets for the culling of crown-of-thorns starfish to prevent coral decline.</w:t>
      </w:r>
      <w:r>
        <w:t xml:space="preserve"> </w:t>
      </w:r>
      <w:r>
        <w:rPr>
          <w:i/>
          <w:iCs/>
        </w:rPr>
        <w:t xml:space="preserve">Coral Reefs</w:t>
      </w:r>
      <w:r>
        <w:t xml:space="preserve"> </w:t>
      </w:r>
      <w:r>
        <w:t xml:space="preserve">39, 1483–1499. doi:</w:t>
      </w:r>
      <w:r>
        <w:t xml:space="preserve"> </w:t>
      </w:r>
      <w:hyperlink r:id="rId112">
        <w:r>
          <w:rPr>
            <w:rStyle w:val="Hyperlink"/>
          </w:rPr>
          <w:t xml:space="preserve">10.1007/s00338-020-01981-z</w:t>
        </w:r>
      </w:hyperlink>
    </w:p>
    <w:bookmarkEnd w:id="113"/>
    <w:bookmarkStart w:id="115" w:name="ref-pratchett2022salad"/>
    <w:p>
      <w:pPr>
        <w:pStyle w:val="Bibliography"/>
      </w:pPr>
      <w:r>
        <w:t xml:space="preserve">Pratchett, M. S., Caballes, C. F., Burn, D., Doll, P. C., Chandler, J. F., Doyle, J. R., et al. (2022). Scooter-assisted large area diver-based (SALAD) visual surveys to test for renewed outbreaks of crown-of-thorns starfish (acanthaster cf. Solaris) in the northern great barrier reef. COTS Control Innovation Program. Available at:</w:t>
      </w:r>
      <w:r>
        <w:t xml:space="preserve"> </w:t>
      </w:r>
      <w:hyperlink r:id="rId114">
        <w:r>
          <w:rPr>
            <w:rStyle w:val="Hyperlink"/>
          </w:rPr>
          <w:t xml:space="preserve">https://www.barrierreef.org/uploads/CCIP-EIP-02-Early-Investment-Project-COTS-Surveys-Final-Report.pdf</w:t>
        </w:r>
      </w:hyperlink>
    </w:p>
    <w:bookmarkEnd w:id="115"/>
    <w:bookmarkStart w:id="117"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16">
        <w:r>
          <w:rPr>
            <w:rStyle w:val="Hyperlink"/>
          </w:rPr>
          <w:t xml:space="preserve">10.3390/d9040041</w:t>
        </w:r>
      </w:hyperlink>
    </w:p>
    <w:bookmarkEnd w:id="117"/>
    <w:bookmarkStart w:id="119"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18">
        <w:r>
          <w:rPr>
            <w:rStyle w:val="Hyperlink"/>
          </w:rPr>
          <w:t xml:space="preserve">10.1111/ecog.02881</w:t>
        </w:r>
      </w:hyperlink>
    </w:p>
    <w:bookmarkEnd w:id="119"/>
    <w:bookmarkStart w:id="121" w:name="ref-roelfsema2021shallow"/>
    <w:p>
      <w:pPr>
        <w:pStyle w:val="Bibliography"/>
      </w:pPr>
      <w:r>
        <w:t xml:space="preserve">Roelfsema, C. M., Lyons, M. B., Castro-Sanguino, C., Kovacs, E. M., Callaghan, D., Wettle, M., et al. (2021). How much shallow coral habitat is there on the great barrier reef?</w:t>
      </w:r>
      <w:r>
        <w:t xml:space="preserve"> </w:t>
      </w:r>
      <w:r>
        <w:rPr>
          <w:i/>
          <w:iCs/>
        </w:rPr>
        <w:t xml:space="preserve">Remote Sensing</w:t>
      </w:r>
      <w:r>
        <w:t xml:space="preserve"> </w:t>
      </w:r>
      <w:r>
        <w:t xml:space="preserve">13, 4343. doi:</w:t>
      </w:r>
      <w:r>
        <w:t xml:space="preserve"> </w:t>
      </w:r>
      <w:hyperlink r:id="rId120">
        <w:r>
          <w:rPr>
            <w:rStyle w:val="Hyperlink"/>
          </w:rPr>
          <w:t xml:space="preserve">10.3390/rs13214343</w:t>
        </w:r>
      </w:hyperlink>
    </w:p>
    <w:bookmarkEnd w:id="121"/>
    <w:bookmarkStart w:id="123"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22">
        <w:r>
          <w:rPr>
            <w:rStyle w:val="Hyperlink"/>
          </w:rPr>
          <w:t xml:space="preserve">10.32942/X2J391</w:t>
        </w:r>
      </w:hyperlink>
    </w:p>
    <w:bookmarkEnd w:id="123"/>
    <w:bookmarkStart w:id="125"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24">
        <w:r>
          <w:rPr>
            <w:rStyle w:val="Hyperlink"/>
          </w:rPr>
          <w:t xml:space="preserve">10.1111/2041-210X.13345</w:t>
        </w:r>
      </w:hyperlink>
    </w:p>
    <w:bookmarkEnd w:id="125"/>
    <w:bookmarkStart w:id="127" w:name="ref-uthicke2024edna"/>
    <w:p>
      <w:pPr>
        <w:pStyle w:val="Bibliography"/>
      </w:pPr>
      <w:r>
        <w:t xml:space="preserve">Uthicke, S., Doyle, J. R., Gomez Cabrera, M., Patel, F., McLatchie, M. J., Doll, P. C., et al. (2024).</w:t>
      </w:r>
      <w:r>
        <w:t xml:space="preserve"> </w:t>
      </w:r>
      <w:r>
        <w:t xml:space="preserve">eDNA</w:t>
      </w:r>
      <w:r>
        <w:t xml:space="preserve"> </w:t>
      </w:r>
      <w:r>
        <w:t xml:space="preserve">monitoring detects new outbreak wave of corallivorous seastar (acanthaster cf. Solaris) at lizard island, great barrier reef.</w:t>
      </w:r>
      <w:r>
        <w:t xml:space="preserve"> </w:t>
      </w:r>
      <w:r>
        <w:rPr>
          <w:i/>
          <w:iCs/>
        </w:rPr>
        <w:t xml:space="preserve">Coral Reefs</w:t>
      </w:r>
      <w:r>
        <w:t xml:space="preserve"> </w:t>
      </w:r>
      <w:r>
        <w:t xml:space="preserve">43, 857–866. doi:</w:t>
      </w:r>
      <w:r>
        <w:t xml:space="preserve"> </w:t>
      </w:r>
      <w:hyperlink r:id="rId126">
        <w:r>
          <w:rPr>
            <w:rStyle w:val="Hyperlink"/>
          </w:rPr>
          <w:t xml:space="preserve">10.1007/s00338-024-02506-8</w:t>
        </w:r>
      </w:hyperlink>
    </w:p>
    <w:bookmarkEnd w:id="127"/>
    <w:bookmarkStart w:id="129"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28">
        <w:r>
          <w:rPr>
            <w:rStyle w:val="Hyperlink"/>
          </w:rPr>
          <w:t xml:space="preserve">10.1111/ecog.04960</w:t>
        </w:r>
      </w:hyperlink>
    </w:p>
    <w:bookmarkEnd w:id="129"/>
    <w:bookmarkEnd w:id="130"/>
    <w:p>
      <w:r>
        <w:br w:type="page"/>
      </w:r>
    </w:p>
    <w:bookmarkEnd w:id="131"/>
    <w:bookmarkStart w:id="274" w:name="appendices"/>
    <w:p>
      <w:pPr>
        <w:pStyle w:val="Heading1"/>
      </w:pPr>
      <w:r>
        <w:t xml:space="preserve">Appendices</w:t>
      </w:r>
    </w:p>
    <w:bookmarkStart w:id="133"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32" w:name="tbl-layers"/>
          <w:p>
            <w:pPr>
              <w:jc w:val="center"/>
            </w:pPr>
            <w:pPr>
              <w:jc w:val="start"/>
              <w:spacing w:before="200"/>
              <w:pStyle w:val="ImageCaption"/>
            </w:pPr>
            <w:r>
              <w:t xml:space="preserve">Table 4: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32"/>
          <w:p/>
        </w:tc>
      </w:tr>
    </w:tbl>
    <w:bookmarkEnd w:id="133"/>
    <w:bookmarkStart w:id="139"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34" w:name="tbl-predictors"/>
          <w:p>
            <w:pPr>
              <w:jc w:val="center"/>
            </w:pPr>
            <w:pPr>
              <w:jc w:val="start"/>
              <w:spacing w:before="200"/>
              <w:pStyle w:val="ImageCaption"/>
            </w:pPr>
            <w:r>
              <w:t xml:space="preserve">Table 5: Predictor codes. The terrain and coral-habitat surfaces follow</w:t>
            </w:r>
            <w:r>
              <w:t xml:space="preserve"> </w:t>
            </w:r>
            <w:r>
              <w:t xml:space="preserve">Guillaume et al. (2025)</w:t>
            </w:r>
            <w:r>
              <w:t xml:space="preserve">; additional layers were accessed through ReefGuide</w:t>
            </w:r>
            <w:r>
              <w:t xml:space="preserve"> </w:t>
            </w:r>
            <w:r>
              <w:t xml:space="preserve">(open-AIMS, n.d.)</w:t>
            </w:r>
            <w:r>
              <w:t xml:space="preserve">. GBR10 mapping sources are</w:t>
            </w:r>
            <w:r>
              <w:t xml:space="preserve"> </w:t>
            </w:r>
            <w:r>
              <w:t xml:space="preserve">Great Barrier Reef Marine Park Authority (2021a)</w:t>
            </w:r>
            <w:r>
              <w:t xml:space="preserve">,</w:t>
            </w:r>
            <w:r>
              <w:t xml:space="preserve"> </w:t>
            </w:r>
            <w:r>
              <w:t xml:space="preserve">Great Barrier Reef Marine Park Authority (2021b)</w:t>
            </w:r>
            <w:r>
              <w:t xml:space="preserve"> </w:t>
            </w:r>
            <w:r>
              <w:t xml:space="preserve">and</w:t>
            </w:r>
            <w:r>
              <w:t xml:space="preserve"> </w:t>
            </w:r>
            <w:r>
              <w:t xml:space="preserve">Roelfsema et al. (2021)</w:t>
            </w:r>
            <w:r>
              <w:t xml:space="preserve">. [TO CONFIRM: exact predictor product versions and resampling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8" w:name="fig-importance"/>
          <w:p>
            <w:pPr>
              <w:pStyle w:val="Compact"/>
              <w:jc w:val="center"/>
            </w:pPr>
            <w:r>
              <w:drawing>
                <wp:inline>
                  <wp:extent cx="5727700" cy="3818466"/>
                  <wp:effectExtent b="0" l="0" r="0" t="0"/>
                  <wp:docPr descr="" title="" id="136" name="Picture"/>
                  <a:graphic>
                    <a:graphicData uri="http://schemas.openxmlformats.org/drawingml/2006/picture">
                      <pic:pic>
                        <pic:nvPicPr>
                          <pic:cNvPr descr="../outputs/figures/fig06_legacy_variable_importance.png" id="137" name="Picture"/>
                          <pic:cNvPicPr>
                            <a:picLocks noChangeArrowheads="1" noChangeAspect="1"/>
                          </pic:cNvPicPr>
                        </pic:nvPicPr>
                        <pic:blipFill>
                          <a:blip r:embed="rId135"/>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38"/>
        </w:tc>
      </w:tr>
    </w:tbl>
    <w:bookmarkEnd w:id="139"/>
    <w:bookmarkStart w:id="149"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40" w:name="tbl-hmsc"/>
          <w:p>
            <w:pPr>
              <w:jc w:val="center"/>
            </w:pPr>
            <w:pPr>
              <w:jc w:val="start"/>
              <w:spacing w:before="200"/>
              <w:pStyle w:val="ImageCaption"/>
            </w:pPr>
            <w:r>
              <w:t xml:space="preserve">Table 6: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4" w:name="fig-hmsc-effects"/>
          <w:p>
            <w:pPr>
              <w:pStyle w:val="Compact"/>
              <w:jc w:val="center"/>
            </w:pPr>
            <w:r>
              <w:drawing>
                <wp:inline>
                  <wp:extent cx="5727700" cy="4582159"/>
                  <wp:effectExtent b="0" l="0" r="0" t="0"/>
                  <wp:docPr descr="" title="" id="142" name="Picture"/>
                  <a:graphic>
                    <a:graphicData uri="http://schemas.openxmlformats.org/drawingml/2006/picture">
                      <pic:pic>
                        <pic:nvPicPr>
                          <pic:cNvPr descr="../outputs/figures/fig04_hmsc_target_effects.png" id="143" name="Picture"/>
                          <pic:cNvPicPr>
                            <a:picLocks noChangeArrowheads="1" noChangeAspect="1"/>
                          </pic:cNvPicPr>
                        </pic:nvPicPr>
                        <pic:blipFill>
                          <a:blip r:embed="rId141"/>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HMSC habitat effects on the mapped cull target, with posterior uncertainty.</w:t>
            </w:r>
          </w:p>
          <w:bookmarkEnd w:id="1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8" w:name="fig-hmsc-coef"/>
          <w:p>
            <w:pPr>
              <w:pStyle w:val="Compact"/>
              <w:jc w:val="center"/>
            </w:pPr>
            <w:r>
              <w:drawing>
                <wp:inline>
                  <wp:extent cx="5727700" cy="4734898"/>
                  <wp:effectExtent b="0" l="0" r="0" t="0"/>
                  <wp:docPr descr="" title="" id="146" name="Picture"/>
                  <a:graphic>
                    <a:graphicData uri="http://schemas.openxmlformats.org/drawingml/2006/picture">
                      <pic:pic>
                        <pic:nvPicPr>
                          <pic:cNvPr descr="../outputs/figures/fig05_hmsc_joint_coefficients.png" id="147" name="Picture"/>
                          <pic:cNvPicPr>
                            <a:picLocks noChangeArrowheads="1" noChangeAspect="1"/>
                          </pic:cNvPicPr>
                        </pic:nvPicPr>
                        <pic:blipFill>
                          <a:blip r:embed="rId145"/>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HMSC coefficients across all 12 jointly fitted responses (cull, SALAD and RHIS evidence).</w:t>
            </w:r>
          </w:p>
          <w:bookmarkEnd w:id="148"/>
        </w:tc>
      </w:tr>
    </w:tbl>
    <w:bookmarkEnd w:id="149"/>
    <w:bookmarkStart w:id="171"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53" w:name="fig-agreement"/>
          <w:p>
            <w:pPr>
              <w:pStyle w:val="Compact"/>
              <w:jc w:val="center"/>
            </w:pPr>
            <w:r>
              <w:drawing>
                <wp:inline>
                  <wp:extent cx="5727700" cy="2749295"/>
                  <wp:effectExtent b="0" l="0" r="0" t="0"/>
                  <wp:docPr descr="" title="" id="151" name="Picture"/>
                  <a:graphic>
                    <a:graphicData uri="http://schemas.openxmlformats.org/drawingml/2006/picture">
                      <pic:pic>
                        <pic:nvPicPr>
                          <pic:cNvPr descr="../outputs/figures/fig07_layer_agreement.png" id="152" name="Picture"/>
                          <pic:cNvPicPr>
                            <a:picLocks noChangeArrowheads="1" noChangeAspect="1"/>
                          </pic:cNvPicPr>
                        </pic:nvPicPr>
                        <pic:blipFill>
                          <a:blip r:embed="rId150"/>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Within-reef agreement (Spearman correlation) between layers across reefs. The layers agree only moderately on which cells rank highest.</w:t>
            </w:r>
          </w:p>
          <w:bookmarkEnd w:id="1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7" w:name="fig-coverage"/>
          <w:p>
            <w:pPr>
              <w:pStyle w:val="Compact"/>
              <w:jc w:val="center"/>
            </w:pPr>
            <w:r>
              <w:drawing>
                <wp:inline>
                  <wp:extent cx="5727700" cy="1985602"/>
                  <wp:effectExtent b="0" l="0" r="0" t="0"/>
                  <wp:docPr descr="" title="" id="155" name="Picture"/>
                  <a:graphic>
                    <a:graphicData uri="http://schemas.openxmlformats.org/drawingml/2006/picture">
                      <pic:pic>
                        <pic:nvPicPr>
                          <pic:cNvPr descr="../outputs/figures/fig08_coverage_by_source.png" id="156" name="Picture"/>
                          <pic:cNvPicPr>
                            <a:picLocks noChangeArrowheads="1" noChangeAspect="1"/>
                          </pic:cNvPicPr>
                        </pic:nvPicPr>
                        <pic:blipFill>
                          <a:blip r:embed="rId154"/>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Which model fills each cell of the primary search-planning layer and of the HMSC layer.</w:t>
            </w:r>
          </w:p>
          <w:bookmarkEnd w:id="157"/>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7</w:t>
        </w:r>
      </w:hyperlink>
      <w:r>
        <w:t xml:space="preserve">,</w:t>
      </w:r>
      <w:r>
        <w:t xml:space="preserve"> </w:t>
      </w:r>
      <w:hyperlink w:anchor="fig-ops">
        <w:r>
          <w:rPr>
            <w:rStyle w:val="Hyperlink"/>
          </w:rPr>
          <w:t xml:space="preserve">Figure 10</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58" w:name="tbl-ops"/>
          <w:p>
            <w:pPr>
              <w:jc w:val="center"/>
            </w:pPr>
            <w:pPr>
              <w:jc w:val="start"/>
              <w:spacing w:before="200"/>
              <w:pStyle w:val="ImageCaption"/>
            </w:pPr>
            <w:r>
              <w:t xml:space="preserve">Table 7: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5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2" w:name="fig-ops"/>
          <w:p>
            <w:pPr>
              <w:pStyle w:val="Compact"/>
              <w:jc w:val="center"/>
            </w:pPr>
            <w:r>
              <w:drawing>
                <wp:inline>
                  <wp:extent cx="5727700" cy="5040376"/>
                  <wp:effectExtent b="0" l="0" r="0" t="0"/>
                  <wp:docPr descr="" title="" id="160" name="Picture"/>
                  <a:graphic>
                    <a:graphicData uri="http://schemas.openxmlformats.org/drawingml/2006/picture">
                      <pic:pic>
                        <pic:nvPicPr>
                          <pic:cNvPr descr="../outputs/figures/fig11_operational_efficiency.png" id="161" name="Picture"/>
                          <pic:cNvPicPr>
                            <a:picLocks noChangeArrowheads="1" noChangeAspect="1"/>
                          </pic:cNvPicPr>
                        </pic:nvPicPr>
                        <pic:blipFill>
                          <a:blip r:embed="rId159"/>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Manta and cull effort cut by the primary layer versus at random (2022–2026).</w:t>
            </w:r>
          </w:p>
          <w:bookmarkEnd w:id="162"/>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11</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66" w:name="fig-plans"/>
          <w:p>
            <w:pPr>
              <w:pStyle w:val="Compact"/>
              <w:jc w:val="center"/>
            </w:pPr>
            <w:r>
              <w:drawing>
                <wp:inline>
                  <wp:extent cx="5727700" cy="6567762"/>
                  <wp:effectExtent b="0" l="0" r="0" t="0"/>
                  <wp:docPr descr="" title="" id="164" name="Picture"/>
                  <a:graphic>
                    <a:graphicData uri="http://schemas.openxmlformats.org/drawingml/2006/picture">
                      <pic:pic>
                        <pic:nvPicPr>
                          <pic:cNvPr descr="../outputs/figures/fig12_search_plans_batt_eyrie.png" id="165" name="Picture"/>
                          <pic:cNvPicPr>
                            <a:picLocks noChangeArrowheads="1" noChangeAspect="1"/>
                          </pic:cNvPicPr>
                        </pic:nvPicPr>
                        <pic:blipFill>
                          <a:blip r:embed="rId163"/>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66"/>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70" w:name="fig-history"/>
          <w:p>
            <w:pPr>
              <w:pStyle w:val="Compact"/>
              <w:jc w:val="center"/>
            </w:pPr>
            <w:r>
              <w:drawing>
                <wp:inline>
                  <wp:extent cx="5727700" cy="6644131"/>
                  <wp:effectExtent b="0" l="0" r="0" t="0"/>
                  <wp:docPr descr="" title="" id="168" name="Picture"/>
                  <a:graphic>
                    <a:graphicData uri="http://schemas.openxmlformats.org/drawingml/2006/picture">
                      <pic:pic>
                        <pic:nvPicPr>
                          <pic:cNvPr descr="../outputs/figures/fig10_history_combined_four_reefs.png" id="169" name="Picture"/>
                          <pic:cNvPicPr>
                            <a:picLocks noChangeArrowheads="1" noChangeAspect="1"/>
                          </pic:cNvPicPr>
                        </pic:nvPicPr>
                        <pic:blipFill>
                          <a:blip r:embed="rId167"/>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Habitat, cull history and the combined layer on the four reefs, with the history evidence weight. The combined layer is dominated by past finds wherever history exists.</w:t>
            </w:r>
          </w:p>
          <w:bookmarkEnd w:id="170"/>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71"/>
    <w:bookmarkStart w:id="173"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72" w:name="tbl-workplan"/>
          <w:p>
            <w:pPr>
              <w:jc w:val="center"/>
            </w:pPr>
            <w:pPr>
              <w:jc w:val="start"/>
              <w:spacing w:before="200"/>
              <w:pStyle w:val="ImageCaption"/>
            </w:pPr>
            <w:r>
              <w:t xml:space="preserve">Table 8: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3.2</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Main Methods/Results and Appendices G and I</w:t>
                  </w:r>
                </w:p>
              </w:tc>
              <w:tc>
                <w:tcPr/>
                <w:p>
                  <w:pPr>
                    <w:pStyle w:val="Compact"/>
                    <w:jc w:val="center"/>
                  </w:pPr>
                  <w:r>
                    <w:t xml:space="preserve">Prototype and exploratory effort projections implemented; independent validation and full program-impact assessment incomplete</w:t>
                  </w:r>
                </w:p>
              </w:tc>
            </w:tr>
            <w:tr>
              <w:tc>
                <w:tcPr/>
                <w:p>
                  <w:pPr>
                    <w:pStyle w:val="Compact"/>
                    <w:jc w:val="center"/>
                  </w:pPr>
                  <w:r>
                    <w:t xml:space="preserve">H. Final data sets and public report (FAIR)</w:t>
                  </w:r>
                </w:p>
              </w:tc>
              <w:tc>
                <w:tcPr/>
                <w:p>
                  <w:pPr>
                    <w:pStyle w:val="Compact"/>
                    <w:jc w:val="center"/>
                  </w:pPr>
                  <w:r>
                    <w:t xml:space="preserve">This report; layers, tables, threshold reassessment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72"/>
          <w:p/>
        </w:tc>
      </w:tr>
    </w:tbl>
    <w:bookmarkEnd w:id="173"/>
    <w:bookmarkStart w:id="174"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Inputs are pinned by SHA-256 checksum in</w:t>
      </w:r>
      <w:r>
        <w:t xml:space="preserve"> </w:t>
      </w:r>
      <w:r>
        <w:rPr>
          <w:rStyle w:val="VerbatimChar"/>
        </w:rPr>
        <w:t xml:space="preserve">config.R</w:t>
      </w:r>
      <w:r>
        <w:t xml:space="preserve">; the dated calibration snapshot additionally checks member files against its pinned metadata. Run scripts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Script 25 imports the 21 October calibration and projection summaries. Every reported analysis result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p>
      <w:r>
        <w:br w:type="page"/>
      </w:r>
    </w:p>
    <w:bookmarkEnd w:id="174"/>
    <w:bookmarkStart w:id="182" w:name="X300ed68d2c9a424943659186983490b8562786d"/>
    <w:p>
      <w:pPr>
        <w:pStyle w:val="Heading2"/>
      </w:pPr>
      <w:r>
        <w:t xml:space="preserve">Appendix G: Detailed model specification and evaluation</w:t>
      </w:r>
    </w:p>
    <w:p>
      <w:pPr>
        <w:pStyle w:val="FirstParagraph"/>
      </w:pPr>
      <w:r>
        <w:t xml:space="preserve">The main Methods define each model by its purpose. This appendix retains the</w:t>
      </w:r>
      <w:r>
        <w:t xml:space="preserve"> </w:t>
      </w:r>
      <w:r>
        <w:t xml:space="preserve">implementation detail needed to reproduce it. Original software labels are used</w:t>
      </w:r>
      <w:r>
        <w:t xml:space="preserve"> </w:t>
      </w:r>
      <w:r>
        <w:t xml:space="preserve">in archived tables and figure legends; their meanings are mapped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Original label</w:t>
            </w:r>
          </w:p>
        </w:tc>
        <w:tc>
          <w:tcPr/>
          <w:p>
            <w:pPr>
              <w:pStyle w:val="Compact"/>
            </w:pPr>
            <w:r>
              <w:t xml:space="preserve">Description used in the main report</w:t>
            </w:r>
          </w:p>
        </w:tc>
      </w:tr>
      <w:tr>
        <w:tc>
          <w:tcPr/>
          <w:p>
            <w:pPr>
              <w:pStyle w:val="Compact"/>
            </w:pPr>
            <w:r>
              <w:t xml:space="preserve">clean + year</w:t>
            </w:r>
          </w:p>
        </w:tc>
        <w:tc>
          <w:tcPr/>
          <w:p>
            <w:pPr>
              <w:pStyle w:val="Compact"/>
            </w:pPr>
            <w:r>
              <w:t xml:space="preserve">Annual full-extent model (13 predictors)</w:t>
            </w:r>
          </w:p>
        </w:tc>
      </w:tr>
      <w:tr>
        <w:tc>
          <w:tcPr/>
          <w:p>
            <w:pPr>
              <w:pStyle w:val="Compact"/>
            </w:pPr>
            <w:r>
              <w:t xml:space="preserve">RG + year</w:t>
            </w:r>
          </w:p>
        </w:tc>
        <w:tc>
          <w:tcPr/>
          <w:p>
            <w:pPr>
              <w:pStyle w:val="Compact"/>
            </w:pPr>
            <w:r>
              <w:t xml:space="preserve">Annual limited-extent model (18 predictors)</w:t>
            </w:r>
          </w:p>
        </w:tc>
      </w:tr>
      <w:tr>
        <w:tc>
          <w:tcPr/>
          <w:p>
            <w:pPr>
              <w:pStyle w:val="Compact"/>
            </w:pPr>
            <w:r>
              <w:t xml:space="preserve">manta / manta with year</w:t>
            </w:r>
          </w:p>
        </w:tc>
        <w:tc>
          <w:tcPr/>
          <w:p>
            <w:pPr>
              <w:pStyle w:val="Compact"/>
            </w:pPr>
            <w:r>
              <w:t xml:space="preserve">Annual habitat model fitted to manta observations</w:t>
            </w:r>
          </w:p>
        </w:tc>
      </w:tr>
      <w:tr>
        <w:tc>
          <w:tcPr/>
          <w:p>
            <w:pPr>
              <w:pStyle w:val="Compact"/>
            </w:pPr>
            <w:r>
              <w:t xml:space="preserve">manta within reef-year</w:t>
            </w:r>
          </w:p>
        </w:tc>
        <w:tc>
          <w:tcPr/>
          <w:p>
            <w:pPr>
              <w:pStyle w:val="Compact"/>
            </w:pPr>
            <w:r>
              <w:t xml:space="preserve">Manta habitat model accounting for differences among reef-years</w:t>
            </w:r>
          </w:p>
        </w:tc>
      </w:tr>
      <w:tr>
        <w:tc>
          <w:tcPr/>
          <w:p>
            <w:pPr>
              <w:pStyle w:val="Compact"/>
            </w:pPr>
            <w:r>
              <w:t xml:space="preserve">combined site ranking</w:t>
            </w:r>
          </w:p>
        </w:tc>
        <w:tc>
          <w:tcPr/>
          <w:p>
            <w:pPr>
              <w:pStyle w:val="Compact"/>
            </w:pPr>
            <w:r>
              <w:t xml:space="preserve">Recent-evidence site ranking</w:t>
            </w:r>
          </w:p>
        </w:tc>
      </w:tr>
      <w:tr>
        <w:tc>
          <w:tcPr/>
          <w:p>
            <w:pPr>
              <w:pStyle w:val="Compact"/>
            </w:pPr>
            <w:r>
              <w:t xml:space="preserve">HMSC joint</w:t>
            </w:r>
          </w:p>
        </w:tc>
        <w:tc>
          <w:tcPr/>
          <w:p>
            <w:pPr>
              <w:pStyle w:val="Compact"/>
            </w:pPr>
            <w:r>
              <w:t xml:space="preserve">Multi-observation habitat model</w:t>
            </w:r>
          </w:p>
        </w:tc>
      </w:tr>
      <w:tr>
        <w:tc>
          <w:tcPr/>
          <w:p>
            <w:pPr>
              <w:pStyle w:val="Compact"/>
            </w:pPr>
            <w:r>
              <w:t xml:space="preserve">HMSC + history</w:t>
            </w:r>
          </w:p>
        </w:tc>
        <w:tc>
          <w:tcPr/>
          <w:p>
            <w:pPr>
              <w:pStyle w:val="Compact"/>
            </w:pPr>
            <w:r>
              <w:t xml:space="preserve">Habitat updated by longer cull history; distinct from the operational site ranking</w:t>
            </w:r>
          </w:p>
        </w:tc>
      </w:tr>
    </w:tbl>
    <w:p>
      <w:pPr>
        <w:pStyle w:val="BodyText"/>
      </w:pPr>
      <w:r>
        <w:t xml:space="preserve">The habitat-model reporting follows the Overview, Data, Model, Assessment and Prediction (ODMAP) protocol for species distribution models</w:t>
      </w:r>
      <w:r>
        <w:t xml:space="preserve"> </w:t>
      </w:r>
      <w:r>
        <w:t xml:space="preserve">(Zurell et al., 2020)</w:t>
      </w:r>
      <w:r>
        <w:t xml:space="preserve">.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bookmarkStart w:id="175" w:name="data-and-response-definitions"/>
    <w:p>
      <w:pPr>
        <w:pStyle w:val="Heading3"/>
      </w:pPr>
      <w:r>
        <w:t xml:space="preserve">Data and response definitions</w:t>
      </w:r>
    </w:p>
    <w:p>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w:t>
      </w:r>
      <w:r>
        <w:t xml:space="preserve"> </w:t>
      </w:r>
    </w:p>
    <w:p>
      <w:pPr>
        <w:pStyle w:val="BodyText"/>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w:t>
      </w:r>
      <w:r>
        <w:t xml:space="preserve">(Plagányi et al., 2020)</w:t>
      </w:r>
      <w:r>
        <w:t xml:space="preserve">. Habitat fits used a site-year response, while search selection was assessed against individual dive outcomes. The two thresholds do not change the definition of a manta aggregation.</w:t>
      </w:r>
    </w:p>
    <w:p>
      <w:pPr>
        <w:pStyle w:val="BodyText"/>
      </w:pPr>
      <w:r>
        <w:t xml:space="preserve">The habitat model fitted to manta observations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w:t>
      </w:r>
      <w:r>
        <w:t xml:space="preserve"> </w:t>
      </w:r>
      <w:r>
        <w:t xml:space="preserve">(Pratchett et al., 2022)</w:t>
      </w:r>
      <w:r>
        <w:t xml:space="preserve"> </w:t>
      </w:r>
      <w:r>
        <w:t xml:space="preserve">and RHIS</w:t>
      </w:r>
      <w:r>
        <w:t xml:space="preserve"> </w:t>
      </w:r>
      <w:r>
        <w:t xml:space="preserve">(Beeden et al., 2014)</w:t>
      </w:r>
      <w:r>
        <w:t xml:space="preserve"> </w:t>
      </w:r>
      <w:r>
        <w:t xml:space="preserve">observations contributed to the joint habitat model. ReefScan imagery</w:t>
      </w:r>
      <w:r>
        <w:t xml:space="preserve"> </w:t>
      </w:r>
      <w:r>
        <w:t xml:space="preserve">(Bainbridge and Coleman, 2024)</w:t>
      </w:r>
      <w:r>
        <w:t xml:space="preserve"> </w:t>
      </w:r>
      <w:r>
        <w:t xml:space="preserve">supplied a separate presence-only check in script 10 and was not a fitted response in the delivered joint model.</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Sources:</w:t>
      </w:r>
      <w:r>
        <w:t xml:space="preserve"> </w:t>
      </w:r>
      <w:r>
        <w:t xml:space="preserve">Great Barrier Reef Marine Park Authority (2021a)</w:t>
      </w:r>
      <w:r>
        <w:t xml:space="preserve">,</w:t>
      </w:r>
      <w:r>
        <w:t xml:space="preserve"> </w:t>
      </w:r>
      <w:r>
        <w:t xml:space="preserve">Great Barrier Reef Marine Park Authority (2021b)</w:t>
      </w:r>
      <w:r>
        <w:t xml:space="preserve">,</w:t>
      </w:r>
      <w:r>
        <w:t xml:space="preserve"> </w:t>
      </w:r>
      <w:r>
        <w:t xml:space="preserve">Roelfsema et al. (2021)</w:t>
      </w:r>
      <w:r>
        <w:t xml:space="preserve"> </w:t>
      </w:r>
      <w:r>
        <w:t xml:space="preserve">and</w:t>
      </w:r>
      <w:r>
        <w:t xml:space="preserve"> </w:t>
      </w:r>
      <w:r>
        <w:t xml:space="preserve">open-AIMS (n.d.)</w:t>
      </w:r>
      <w:r>
        <w:t xml:space="preserve">. ReefGuide coverage was reduced in some deeper areas, particularly beyond about 15–20 m. [TO CONFIRM: predictor product versions and resampling methods.]</w:t>
      </w:r>
    </w:p>
    <w:bookmarkEnd w:id="175"/>
    <w:bookmarkStart w:id="176" w:name="habitat-models-and-mapped-layers"/>
    <w:p>
      <w:pPr>
        <w:pStyle w:val="Heading3"/>
      </w:pPr>
      <w:r>
        <w:t xml:space="preserve">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w:t>
      </w:r>
      <w:r>
        <w:t xml:space="preserve"> </w:t>
      </w:r>
      <m:oMath>
        <m:sSup>
          <m:e>
            <m:r>
              <m:t>10</m:t>
            </m:r>
          </m:e>
          <m:sup>
            <m:r>
              <m:rPr>
                <m:sty m:val="p"/>
              </m:rPr>
              <m:t>−</m:t>
            </m:r>
            <m:r>
              <m:t>10</m:t>
            </m:r>
          </m:sup>
        </m:sSup>
      </m:oMath>
      <w:r>
        <w:t xml:space="preserve">,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176"/>
    <w:bookmarkStart w:id="177" w:name="X0169ef9a59d7e3c3f870eeac9fa241e3243f675"/>
    <w:p>
      <w:pPr>
        <w:pStyle w:val="Heading3"/>
      </w:pPr>
      <w:r>
        <w:t xml:space="preserve">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pPr>
        <w:pStyle w:val="BodyText"/>
      </w:pPr>
      <w:r>
        <w:t xml:space="preserve">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177"/>
    <w:bookmarkStart w:id="178" w:name="seasonal-products"/>
    <w:p>
      <w:pPr>
        <w:pStyle w:val="Heading3"/>
      </w:pPr>
      <w:r>
        <w:t xml:space="preserve">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178"/>
    <w:bookmarkStart w:id="180" w:name="X7637c55a13d71cf206f210002685db0ca156178"/>
    <w:p>
      <w:pPr>
        <w:pStyle w:val="Heading3"/>
      </w:pPr>
      <w:r>
        <w:t xml:space="preserve">Metacommunity model and historical culling</w:t>
      </w:r>
    </w:p>
    <w:p>
      <w:pPr>
        <w:pStyle w:val="FirstParagraph"/>
      </w:pPr>
      <w:r>
        <w:t xml:space="preserve">The detailed calibration and spatial-kernel removal specification below records the 15 October setup. Appendix I describes the subsequent changes to settlement, coral settings, reef-wide removal allocation and effort-based projections used in the current Results.</w:t>
      </w:r>
    </w:p>
    <w:p>
      <w:pPr>
        <w:pStyle w:val="BodyText"/>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2026c, 2026b)</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2020;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bookmarkStart w:id="179" w:name="X088dc56982c68cfe811b3c270a3f34558ab8513"/>
    <w:p>
      <w:pPr>
        <w:pStyle w:val="Heading4"/>
      </w:pPr>
      <w:r>
        <w:t xml:space="preserve">Design of the historical and future control assessments</w:t>
      </w:r>
    </w:p>
    <w:p>
      <w:pPr>
        <w:pStyle w:val="FirstParagraph"/>
      </w:pPr>
      <w:r>
        <w:t xml:space="preserve">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pPr>
        <w:pStyle w:val="BodyText"/>
      </w:pPr>
      <w:r>
        <w:t xml:space="preserve">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bookmarkEnd w:id="179"/>
    <w:bookmarkEnd w:id="180"/>
    <w:bookmarkStart w:id="181" w:name="software-and-reproducibility"/>
    <w:p>
      <w:pPr>
        <w:pStyle w:val="Heading3"/>
      </w:pPr>
      <w:r>
        <w:t xml:space="preserve">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r>
        <w:br w:type="page"/>
      </w:r>
    </w:p>
    <w:bookmarkEnd w:id="181"/>
    <w:bookmarkEnd w:id="182"/>
    <w:bookmarkStart w:id="235" w:name="X4d9281e273f872842ce5941b85389792d65965e"/>
    <w:p>
      <w:pPr>
        <w:pStyle w:val="Heading2"/>
      </w:pPr>
      <w:r>
        <w:t xml:space="preserve">Appendix H: Detailed tactical model comparisons</w:t>
      </w:r>
    </w:p>
    <w:p>
      <w:pPr>
        <w:pStyle w:val="FirstParagraph"/>
      </w:pPr>
      <w:r>
        <w:t xml:space="preserve">These comparisons retain the original ≥0.02 response and the separate &gt;0.04</w:t>
      </w:r>
      <w:r>
        <w:t xml:space="preserve"> </w:t>
      </w:r>
      <w:r>
        <w:t xml:space="preserve">management assessment. They support the highlights in the main Results and</w:t>
      </w:r>
      <w:r>
        <w:t xml:space="preserve"> </w:t>
      </w:r>
      <w:r>
        <w:t xml:space="preserve">should be read with the model definitions in Appendix G. Original labels in</w:t>
      </w:r>
      <w:r>
        <w:t xml:space="preserve"> </w:t>
      </w:r>
      <w:r>
        <w:t xml:space="preserve">figure legends and source tables refer to the same frozen models.</w:t>
      </w:r>
    </w:p>
    <w:bookmarkStart w:id="188" w:name="X08933f17dd90d1475a15f08885318498262a1a5"/>
    <w:p>
      <w:pPr>
        <w:pStyle w:val="Heading3"/>
      </w:pPr>
      <w:r>
        <w:t xml:space="preserve">Recent evidence combined with habitat reduces the cull-site search</w:t>
      </w:r>
    </w:p>
    <w:p>
      <w:pPr>
        <w:pStyle w:val="FirstParagraph"/>
      </w:pPr>
      <w:r>
        <w:t xml:space="preserve">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9</w:t>
        </w:r>
      </w:hyperlink>
      <w:r>
        <w:t xml:space="preserve">,</w:t>
      </w:r>
      <w:r>
        <w:t xml:space="preserve"> </w:t>
      </w:r>
      <w:hyperlink w:anchor="fig-evidence">
        <w:r>
          <w:rPr>
            <w:rStyle w:val="Hyperlink"/>
          </w:rPr>
          <w:t xml:space="preserve">Figure 13</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08"/>
        </w:numPr>
      </w:pPr>
      <w:r>
        <w:t xml:space="preserve">reduced the designated sites searched from 88% to 82%;</w:t>
      </w:r>
    </w:p>
    <w:p>
      <w:pPr>
        <w:pStyle w:val="Compact"/>
        <w:numPr>
          <w:ilvl w:val="0"/>
          <w:numId w:val="1008"/>
        </w:numPr>
      </w:pPr>
      <w:r>
        <w:t xml:space="preserve">raised low-density dives avoided from 10% to 16%;</w:t>
      </w:r>
    </w:p>
    <w:p>
      <w:pPr>
        <w:pStyle w:val="Compact"/>
        <w:numPr>
          <w:ilvl w:val="0"/>
          <w:numId w:val="1008"/>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183" w:name="tbl-evidence"/>
          <w:p>
            <w:pPr>
              <w:jc w:val="center"/>
            </w:pPr>
            <w:pPr>
              <w:jc w:val="start"/>
              <w:spacing w:before="200"/>
              <w:pStyle w:val="ImageCaption"/>
            </w:pPr>
            <w:r>
              <w:t xml:space="preserve">Table 9: Habitat-only ranking → habitat plus previous-season evidence, compared at matched retention of problematic dives (CPUE ≥0.02;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18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7" w:name="fig-evidence"/>
          <w:p>
            <w:pPr>
              <w:pStyle w:val="Compact"/>
              <w:jc w:val="center"/>
            </w:pPr>
            <w:r>
              <w:drawing>
                <wp:inline>
                  <wp:extent cx="5727700" cy="3512989"/>
                  <wp:effectExtent b="0" l="0" r="0" t="0"/>
                  <wp:docPr descr="" title="" id="185" name="Picture"/>
                  <a:graphic>
                    <a:graphicData uri="http://schemas.openxmlformats.org/drawingml/2006/picture">
                      <pic:pic>
                        <pic:nvPicPr>
                          <pic:cNvPr descr="../outputs/figures/fig15_cull_search_area_evidence.png" id="186" name="Picture"/>
                          <pic:cNvPicPr>
                            <a:picLocks noChangeArrowheads="1" noChangeAspect="1"/>
                          </pic:cNvPicPr>
                        </pic:nvPicPr>
                        <pic:blipFill>
                          <a:blip r:embed="rId184"/>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187"/>
        </w:tc>
      </w:tr>
    </w:tbl>
    <w:p>
      <w:pPr>
        <w:pStyle w:val="BodyText"/>
      </w:pPr>
      <w:r>
        <w:t xml:space="preserve">The fitted model weighs the evidence in ways that match field experience:</w:t>
      </w:r>
    </w:p>
    <w:p>
      <w:pPr>
        <w:pStyle w:val="Compact"/>
        <w:numPr>
          <w:ilvl w:val="0"/>
          <w:numId w:val="1009"/>
        </w:numPr>
      </w:pPr>
      <w:r>
        <w:t xml:space="preserve">strong manta tows or problematic dives nearby raised a site’s rank;</w:t>
      </w:r>
    </w:p>
    <w:p>
      <w:pPr>
        <w:pStyle w:val="Compact"/>
        <w:numPr>
          <w:ilvl w:val="0"/>
          <w:numId w:val="1009"/>
        </w:numPr>
      </w:pPr>
      <w:r>
        <w:t xml:space="preserve">a site dived the previous season with nothing problematic dropped sharply;</w:t>
      </w:r>
    </w:p>
    <w:p>
      <w:pPr>
        <w:pStyle w:val="Compact"/>
        <w:numPr>
          <w:ilvl w:val="0"/>
          <w:numId w:val="1009"/>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188"/>
    <w:bookmarkStart w:id="190" w:name="the-gain-holds-season-by-season"/>
    <w:p>
      <w:pPr>
        <w:pStyle w:val="Heading3"/>
      </w:pPr>
      <w:r>
        <w:t xml:space="preserve">The gain holds season by season</w:t>
      </w:r>
    </w:p>
    <w:p>
      <w:pPr>
        <w:pStyle w:val="FirstParagraph"/>
      </w:pPr>
      <w:r>
        <w:t xml:space="preserve">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w:t>
      </w:r>
      <w:hyperlink w:anchor="tbl-seasons">
        <w:r>
          <w:rPr>
            <w:rStyle w:val="Hyperlink"/>
          </w:rPr>
          <w:t xml:space="preserve">Table 10</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189" w:name="tbl-seasons"/>
          <w:p>
            <w:pPr>
              <w:jc w:val="center"/>
            </w:pPr>
            <w:pPr>
              <w:jc w:val="start"/>
              <w:spacing w:before="200"/>
              <w:pStyle w:val="ImageCaption"/>
            </w:pPr>
            <w:r>
              <w:t xml:space="preserve">Table 10: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189"/>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190"/>
    <w:bookmarkStart w:id="192" w:name="retaining-dives-above-0.04-cpue"/>
    <w:p>
      <w:pPr>
        <w:pStyle w:val="Heading3"/>
      </w:pPr>
      <w:r>
        <w:t xml:space="preserve">Retaining dives above 0.04 CPUE</w:t>
      </w:r>
    </w:p>
    <w:p>
      <w:pPr>
        <w:pStyle w:val="FirstParagraph"/>
      </w:pPr>
      <w:r>
        <w:t xml:space="preserve">Re-evaluating the unchanged rankings against dives above 0.04 CPUE showed how the acceptable omission rate constrains search reductions (</w:t>
      </w:r>
      <w:hyperlink w:anchor="tbl-high-density">
        <w:r>
          <w:rPr>
            <w:rStyle w:val="Hyperlink"/>
          </w:rPr>
          <w:t xml:space="preserve">Table 11</w:t>
        </w:r>
      </w:hyperlink>
      <w:r>
        <w:t xml:space="preserve">,</w:t>
      </w:r>
      <w:r>
        <w:t xml:space="preserve"> </w:t>
      </w:r>
      <w:hyperlink w:anchor="fig-high-density">
        <w:r>
          <w:rPr>
            <w:rStyle w:val="Hyperlink"/>
          </w:rPr>
          <w:t xml:space="preserve">Figure 1</w:t>
        </w:r>
      </w:hyperlink>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pPr>
        <w:pStyle w:val="BodyText"/>
      </w:pPr>
      <w:r>
        <w:t xml:space="preserve">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type="pct" w:w="5000"/>
        <w:tblLayout w:type="fixed"/>
        <w:tblLook w:firstRow="0" w:lastRow="0" w:firstColumn="0" w:lastColumn="0" w:noHBand="0" w:noVBand="0" w:val="0000"/>
      </w:tblPr>
      <w:tblGrid>
        <w:gridCol w:w="7920"/>
      </w:tblGrid>
      <w:tr>
        <w:tc>
          <w:tcPr/>
          <w:bookmarkStart w:id="191" w:name="tbl-high-density"/>
          <w:p>
            <w:pPr>
              <w:jc w:val="center"/>
            </w:pPr>
            <w:pPr>
              <w:jc w:val="start"/>
              <w:spacing w:before="200"/>
              <w:pStyle w:val="ImageCaption"/>
            </w:pPr>
            <w:r>
              <w:t xml:space="preserve">Table 11: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type="pct" w:w="5000"/>
              <w:tblLayout w:type="fixed"/>
              <w:tblLook w:firstRow="1" w:lastRow="0" w:firstColumn="0" w:lastColumn="0" w:noHBand="0" w:noVBand="0" w:val="0020"/>
            </w:tblPr>
            <w:tblGrid>
              <w:gridCol w:w="688"/>
              <w:gridCol w:w="1205"/>
              <w:gridCol w:w="1635"/>
              <w:gridCol w:w="1463"/>
              <w:gridCol w:w="1377"/>
              <w:gridCol w:w="1549"/>
            </w:tblGrid>
            <w:tr>
              <w:trPr>
                <w:tblHeader w:val="on"/>
              </w:trPr>
              <w:tc>
                <w:tcPr/>
                <w:p>
                  <w:pPr>
                    <w:pStyle w:val="Compact"/>
                    <w:jc w:val="left"/>
                    <w:jc w:val="center"/>
                  </w:pPr>
                  <w:r>
                    <w:t xml:space="preserve">Test</w:t>
                  </w:r>
                </w:p>
              </w:tc>
              <w:tc>
                <w:tcPr/>
                <w:p>
                  <w:pPr>
                    <w:pStyle w:val="Compact"/>
                    <w:jc w:val="right"/>
                    <w:jc w:val="center"/>
                  </w:pPr>
                  <w:r>
                    <w:t xml:space="preserve">Retention (%)</w:t>
                  </w:r>
                </w:p>
              </w:tc>
              <w:tc>
                <w:tcPr/>
                <w:p>
                  <w:pPr>
                    <w:pStyle w:val="Compact"/>
                    <w:jc w:val="left"/>
                    <w:jc w:val="center"/>
                  </w:pPr>
                  <w:r>
                    <w:t xml:space="preserve">Ranking</w:t>
                  </w:r>
                </w:p>
              </w:tc>
              <w:tc>
                <w:tcPr/>
                <w:p>
                  <w:pPr>
                    <w:pStyle w:val="Compact"/>
                    <w:jc w:val="left"/>
                    <w:jc w:val="center"/>
                  </w:pPr>
                  <w:r>
                    <w:t xml:space="preserve">Sites (%)</w:t>
                  </w:r>
                </w:p>
              </w:tc>
              <w:tc>
                <w:tcPr/>
                <w:p>
                  <w:pPr>
                    <w:pStyle w:val="Compact"/>
                    <w:jc w:val="left"/>
                    <w:jc w:val="center"/>
                  </w:pPr>
                  <w:r>
                    <w:t xml:space="preserve">Low avoided (%)</w:t>
                  </w:r>
                </w:p>
              </w:tc>
              <w:tc>
                <w:tcPr/>
                <w:p>
                  <w:pPr>
                    <w:pStyle w:val="Compact"/>
                    <w:jc w:val="left"/>
                    <w:jc w:val="center"/>
                  </w:pPr>
                  <w:r>
                    <w:t xml:space="preserve">Ghost avoided (%)</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90.2 [85.4–93.4]</w:t>
                  </w:r>
                </w:p>
              </w:tc>
              <w:tc>
                <w:tcPr/>
                <w:p>
                  <w:pPr>
                    <w:pStyle w:val="Compact"/>
                    <w:jc w:val="left"/>
                    <w:jc w:val="center"/>
                  </w:pPr>
                  <w:r>
                    <w:t xml:space="preserve">8.9 [6.2–12.9]</w:t>
                  </w:r>
                </w:p>
              </w:tc>
              <w:tc>
                <w:tcPr/>
                <w:p>
                  <w:pPr>
                    <w:pStyle w:val="Compact"/>
                    <w:jc w:val="left"/>
                    <w:jc w:val="center"/>
                  </w:pPr>
                  <w:r>
                    <w:t xml:space="preserve">11.2 [8.0–16.8]</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94.0 [89.7–95.5]</w:t>
                  </w:r>
                </w:p>
              </w:tc>
              <w:tc>
                <w:tcPr/>
                <w:p>
                  <w:pPr>
                    <w:pStyle w:val="Compact"/>
                    <w:jc w:val="left"/>
                    <w:jc w:val="center"/>
                  </w:pPr>
                  <w:r>
                    <w:t xml:space="preserve">4.9 [3.7–8.2]</w:t>
                  </w:r>
                </w:p>
              </w:tc>
              <w:tc>
                <w:tcPr/>
                <w:p>
                  <w:pPr>
                    <w:pStyle w:val="Compact"/>
                    <w:jc w:val="left"/>
                    <w:jc w:val="center"/>
                  </w:pPr>
                  <w:r>
                    <w:t xml:space="preserve">6.8 [4.9–10.5]</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98.2 [97.2–98.7]</w:t>
                  </w:r>
                </w:p>
              </w:tc>
              <w:tc>
                <w:tcPr/>
                <w:p>
                  <w:pPr>
                    <w:pStyle w:val="Compact"/>
                    <w:jc w:val="left"/>
                    <w:jc w:val="center"/>
                  </w:pPr>
                  <w:r>
                    <w:t xml:space="preserve">1.8 [1.2–2.7]</w:t>
                  </w:r>
                </w:p>
              </w:tc>
              <w:tc>
                <w:tcPr/>
                <w:p>
                  <w:pPr>
                    <w:pStyle w:val="Compact"/>
                    <w:jc w:val="left"/>
                    <w:jc w:val="center"/>
                  </w:pPr>
                  <w:r>
                    <w:t xml:space="preserve">2.2 [1.6–3.6]</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98.8 [98.3–99.1]</w:t>
                  </w:r>
                </w:p>
              </w:tc>
              <w:tc>
                <w:tcPr/>
                <w:p>
                  <w:pPr>
                    <w:pStyle w:val="Compact"/>
                    <w:jc w:val="left"/>
                    <w:jc w:val="center"/>
                  </w:pPr>
                  <w:r>
                    <w:t xml:space="preserve">1.0 [0.7–1.4]</w:t>
                  </w:r>
                </w:p>
              </w:tc>
              <w:tc>
                <w:tcPr/>
                <w:p>
                  <w:pPr>
                    <w:pStyle w:val="Compact"/>
                    <w:jc w:val="left"/>
                    <w:jc w:val="center"/>
                  </w:pPr>
                  <w:r>
                    <w:t xml:space="preserve">1.4 [1.0–2.0]</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92.5 [87.9–94.9]</w:t>
                  </w:r>
                </w:p>
              </w:tc>
              <w:tc>
                <w:tcPr/>
                <w:p>
                  <w:pPr>
                    <w:pStyle w:val="Compact"/>
                    <w:jc w:val="left"/>
                    <w:jc w:val="center"/>
                  </w:pPr>
                  <w:r>
                    <w:t xml:space="preserve">7.2 [5.1–10.5]</w:t>
                  </w:r>
                </w:p>
              </w:tc>
              <w:tc>
                <w:tcPr/>
                <w:p>
                  <w:pPr>
                    <w:pStyle w:val="Compact"/>
                    <w:jc w:val="left"/>
                    <w:jc w:val="center"/>
                  </w:pPr>
                  <w:r>
                    <w:t xml:space="preserve">9.6 [6.5–14.4]</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94.6 [92.1–95.9]</w:t>
                  </w:r>
                </w:p>
              </w:tc>
              <w:tc>
                <w:tcPr/>
                <w:p>
                  <w:pPr>
                    <w:pStyle w:val="Compact"/>
                    <w:jc w:val="left"/>
                    <w:jc w:val="center"/>
                  </w:pPr>
                  <w:r>
                    <w:t xml:space="preserve">4.6 [3.4–6.3]</w:t>
                  </w:r>
                </w:p>
              </w:tc>
              <w:tc>
                <w:tcPr/>
                <w:p>
                  <w:pPr>
                    <w:pStyle w:val="Compact"/>
                    <w:jc w:val="left"/>
                    <w:jc w:val="center"/>
                  </w:pPr>
                  <w:r>
                    <w:t xml:space="preserve">5.7 [4.2–8.1]</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98.6 [97.9–99.0]</w:t>
                  </w:r>
                </w:p>
              </w:tc>
              <w:tc>
                <w:tcPr/>
                <w:p>
                  <w:pPr>
                    <w:pStyle w:val="Compact"/>
                    <w:jc w:val="left"/>
                    <w:jc w:val="center"/>
                  </w:pPr>
                  <w:r>
                    <w:t xml:space="preserve">1.4 [1.0–2.1]</w:t>
                  </w:r>
                </w:p>
              </w:tc>
              <w:tc>
                <w:tcPr/>
                <w:p>
                  <w:pPr>
                    <w:pStyle w:val="Compact"/>
                    <w:jc w:val="left"/>
                    <w:jc w:val="center"/>
                  </w:pPr>
                  <w:r>
                    <w:t xml:space="preserve">1.9 [1.3–2.8]</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98.9 [98.6–99.2]</w:t>
                  </w:r>
                </w:p>
              </w:tc>
              <w:tc>
                <w:tcPr/>
                <w:p>
                  <w:pPr>
                    <w:pStyle w:val="Compact"/>
                    <w:jc w:val="left"/>
                    <w:jc w:val="center"/>
                  </w:pPr>
                  <w:r>
                    <w:t xml:space="preserve">0.9 [0.7–1.2]</w:t>
                  </w:r>
                </w:p>
              </w:tc>
              <w:tc>
                <w:tcPr/>
                <w:p>
                  <w:pPr>
                    <w:pStyle w:val="Compact"/>
                    <w:jc w:val="left"/>
                    <w:jc w:val="center"/>
                  </w:pPr>
                  <w:r>
                    <w:t xml:space="preserve">1.1 [0.8–1.6]</w:t>
                  </w:r>
                </w:p>
              </w:tc>
            </w:tr>
          </w:tbl>
          <w:bookmarkEnd w:id="191"/>
          <w:p/>
        </w:tc>
      </w:tr>
    </w:tbl>
    <w:p>
      <w:pPr>
        <w:pStyle w:val="BodyText"/>
      </w:pPr>
      <w:r>
        <w:t xml:space="preserve">See</w:t>
      </w:r>
      <w:r>
        <w:t xml:space="preserve"> </w:t>
      </w:r>
      <w:hyperlink w:anchor="fig-high-density">
        <w:r>
          <w:rPr>
            <w:rStyle w:val="Hyperlink"/>
          </w:rPr>
          <w:t xml:space="preserve">Figure 1</w:t>
        </w:r>
      </w:hyperlink>
      <w:r>
        <w:t xml:space="preserve"> </w:t>
      </w:r>
      <w:r>
        <w:t xml:space="preserve">in the main Results.</w:t>
      </w:r>
    </w:p>
    <w:p>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w:t>
      </w:r>
      <w:r>
        <w:t xml:space="preserve"> </w:t>
      </w:r>
      <w:r>
        <w:rPr>
          <w:rStyle w:val="VerbatimChar"/>
        </w:rPr>
        <w:t xml:space="preserve">cull_high_density_*.csv</w:t>
      </w:r>
      <w:r>
        <w:t xml:space="preserve">.</w:t>
      </w:r>
    </w:p>
    <w:bookmarkEnd w:id="192"/>
    <w:bookmarkStart w:id="220" w:name="each-source-covers-the-others-gaps"/>
    <w:p>
      <w:pPr>
        <w:pStyle w:val="Heading3"/>
      </w:pPr>
      <w:r>
        <w:t xml:space="preserve">Each source covers the other’s gaps</w:t>
      </w:r>
    </w:p>
    <w:bookmarkStart w:id="206" w:name="Xb58e258760303588338fbcfcd266382b07be4c0"/>
    <w:p>
      <w:pPr>
        <w:pStyle w:val="Heading4"/>
      </w:pPr>
      <w:r>
        <w:t xml:space="preserve">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14</w:t>
        </w:r>
      </w:hyperlink>
      <w:r>
        <w:t xml:space="preserve">). Within reefs, the cull-trained layers placed their highest ranks along reef margins and outer slopes (</w:t>
      </w:r>
      <w:hyperlink w:anchor="fig-maps">
        <w:r>
          <w:rPr>
            <w:rStyle w:val="Hyperlink"/>
          </w:rPr>
          <w:t xml:space="preserve">Figure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6" w:name="fig-overview"/>
          <w:p>
            <w:pPr>
              <w:pStyle w:val="Compact"/>
              <w:jc w:val="center"/>
            </w:pPr>
            <w:r>
              <w:drawing>
                <wp:inline>
                  <wp:extent cx="5727700" cy="3971205"/>
                  <wp:effectExtent b="0" l="0" r="0" t="0"/>
                  <wp:docPr descr="" title="" id="194" name="Picture"/>
                  <a:graphic>
                    <a:graphicData uri="http://schemas.openxmlformats.org/drawingml/2006/picture">
                      <pic:pic>
                        <pic:nvPicPr>
                          <pic:cNvPr descr="../outputs/figures/fig01_gbr_overview.png" id="195" name="Picture"/>
                          <pic:cNvPicPr>
                            <a:picLocks noChangeArrowheads="1" noChangeAspect="1"/>
                          </pic:cNvPicPr>
                        </pic:nvPicPr>
                        <pic:blipFill>
                          <a:blip r:embed="rId193"/>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19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0" w:name="fig-maps"/>
          <w:p>
            <w:pPr>
              <w:pStyle w:val="Compact"/>
              <w:jc w:val="center"/>
            </w:pPr>
            <w:r>
              <w:drawing>
                <wp:inline>
                  <wp:extent cx="5727700" cy="5116745"/>
                  <wp:effectExtent b="0" l="0" r="0" t="0"/>
                  <wp:docPr descr="" title="" id="198" name="Picture"/>
                  <a:graphic>
                    <a:graphicData uri="http://schemas.openxmlformats.org/drawingml/2006/picture">
                      <pic:pic>
                        <pic:nvPicPr>
                          <pic:cNvPr descr="../outputs/figures/fig02b_four_reef_comparison_imagery.png" id="199" name="Picture"/>
                          <pic:cNvPicPr>
                            <a:picLocks noChangeArrowheads="1" noChangeAspect="1"/>
                          </pic:cNvPicPr>
                        </pic:nvPicPr>
                        <pic:blipFill>
                          <a:blip r:embed="rId197"/>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200"/>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12</w:t>
        </w:r>
      </w:hyperlink>
      <w:r>
        <w:t xml:space="preserve">,</w:t>
      </w:r>
      <w:r>
        <w:t xml:space="preserve"> </w:t>
      </w:r>
      <w:hyperlink w:anchor="fig-manta">
        <w:r>
          <w:rPr>
            <w:rStyle w:val="Hyperlink"/>
          </w:rPr>
          <w:t xml:space="preserve">Figure 16</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1" w:name="tbl-manta"/>
          <w:p>
            <w:pPr>
              <w:jc w:val="center"/>
            </w:pPr>
            <w:pPr>
              <w:jc w:val="start"/>
              <w:spacing w:before="200"/>
              <w:pStyle w:val="ImageCaption"/>
            </w:pPr>
            <w:r>
              <w:t xml:space="preserve">Table 12: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20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5" w:name="fig-manta"/>
          <w:p>
            <w:pPr>
              <w:pStyle w:val="Compact"/>
              <w:jc w:val="center"/>
            </w:pPr>
            <w:r>
              <w:drawing>
                <wp:inline>
                  <wp:extent cx="5727700" cy="2138341"/>
                  <wp:effectExtent b="0" l="0" r="0" t="0"/>
                  <wp:docPr descr="" title="" id="203" name="Picture"/>
                  <a:graphic>
                    <a:graphicData uri="http://schemas.openxmlformats.org/drawingml/2006/picture">
                      <pic:pic>
                        <pic:nvPicPr>
                          <pic:cNvPr descr="../outputs/figures/fig03_manta_independent_check.png" id="204" name="Picture"/>
                          <pic:cNvPicPr>
                            <a:picLocks noChangeArrowheads="1" noChangeAspect="1"/>
                          </pic:cNvPicPr>
                        </pic:nvPicPr>
                        <pic:blipFill>
                          <a:blip r:embed="rId202"/>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Independent manta tow check of the three habitat layers. Left: within reef-year AUC; right: top-20% lift. Bars are 95% bootstrap intervals over reef-years; dotted lines mark chance.</w:t>
            </w:r>
          </w:p>
          <w:bookmarkEnd w:id="205"/>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206"/>
    <w:bookmarkStart w:id="212" w:name="habitat-alone-as-a-cull-site-ranking"/>
    <w:p>
      <w:pPr>
        <w:pStyle w:val="Heading4"/>
      </w:pPr>
      <w:r>
        <w:t xml:space="preserve">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13</w:t>
        </w:r>
      </w:hyperlink>
      <w:r>
        <w:t xml:space="preserve">,</w:t>
      </w:r>
      <w:r>
        <w:t xml:space="preserve"> </w:t>
      </w:r>
      <w:hyperlink w:anchor="fig-sites">
        <w:r>
          <w:rPr>
            <w:rStyle w:val="Hyperlink"/>
          </w:rPr>
          <w:t xml:space="preserve">Figure 17</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207" w:name="tbl-sites"/>
          <w:p>
            <w:pPr>
              <w:jc w:val="center"/>
            </w:pPr>
            <w:pPr>
              <w:jc w:val="start"/>
              <w:spacing w:before="200"/>
              <w:pStyle w:val="ImageCaption"/>
            </w:pPr>
            <w:r>
              <w:t xml:space="preserve">Table 13: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20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1" w:name="fig-sites"/>
          <w:p>
            <w:pPr>
              <w:pStyle w:val="Compact"/>
              <w:jc w:val="center"/>
            </w:pPr>
            <w:r>
              <w:drawing>
                <wp:inline>
                  <wp:extent cx="5727700" cy="3742097"/>
                  <wp:effectExtent b="0" l="0" r="0" t="0"/>
                  <wp:docPr descr="" title="" id="209" name="Picture"/>
                  <a:graphic>
                    <a:graphicData uri="http://schemas.openxmlformats.org/drawingml/2006/picture">
                      <pic:pic>
                        <pic:nvPicPr>
                          <pic:cNvPr descr="../outputs/figures/fig14_cull_search_area.png" id="210" name="Picture"/>
                          <pic:cNvPicPr>
                            <a:picLocks noChangeArrowheads="1" noChangeAspect="1"/>
                          </pic:cNvPicPr>
                        </pic:nvPicPr>
                        <pic:blipFill>
                          <a:blip r:embed="rId208"/>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211"/>
        </w:tc>
      </w:tr>
    </w:tbl>
    <w:bookmarkEnd w:id="212"/>
    <w:bookmarkStart w:id="218" w:name="cull-history-strong-where-it-exists"/>
    <w:p>
      <w:pPr>
        <w:pStyle w:val="Heading4"/>
      </w:pPr>
      <w:r>
        <w:t xml:space="preserve">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14</w:t>
        </w:r>
      </w:hyperlink>
      <w:r>
        <w:t xml:space="preserve">,</w:t>
      </w:r>
      <w:r>
        <w:t xml:space="preserve"> </w:t>
      </w:r>
      <w:hyperlink w:anchor="fig-forward">
        <w:r>
          <w:rPr>
            <w:rStyle w:val="Hyperlink"/>
          </w:rPr>
          <w:t xml:space="preserve">Figure 18</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213" w:name="tbl-forward"/>
          <w:p>
            <w:pPr>
              <w:jc w:val="center"/>
            </w:pPr>
            <w:pPr>
              <w:jc w:val="start"/>
              <w:spacing w:before="200"/>
              <w:pStyle w:val="ImageCaption"/>
            </w:pPr>
            <w:r>
              <w:t xml:space="preserve">Table 14: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21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fig-forward"/>
          <w:p>
            <w:pPr>
              <w:pStyle w:val="Compact"/>
              <w:jc w:val="center"/>
            </w:pPr>
            <w:r>
              <w:drawing>
                <wp:inline>
                  <wp:extent cx="5727700" cy="3971205"/>
                  <wp:effectExtent b="0" l="0" r="0" t="0"/>
                  <wp:docPr descr="" title="" id="215" name="Picture"/>
                  <a:graphic>
                    <a:graphicData uri="http://schemas.openxmlformats.org/drawingml/2006/picture">
                      <pic:pic>
                        <pic:nvPicPr>
                          <pic:cNvPr descr="../outputs/figures/fig09_forward_validation.png" id="216" name="Picture"/>
                          <pic:cNvPicPr>
                            <a:picLocks noChangeArrowheads="1" noChangeAspect="1"/>
                          </pic:cNvPicPr>
                        </pic:nvPicPr>
                        <pic:blipFill>
                          <a:blip r:embed="rId214"/>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217"/>
        </w:tc>
      </w:tr>
    </w:tbl>
    <w:bookmarkEnd w:id="218"/>
    <w:bookmarkStart w:id="219" w:name="where-recent-evidence-is-missing"/>
    <w:p>
      <w:pPr>
        <w:pStyle w:val="Heading4"/>
      </w:pPr>
      <w:r>
        <w:t xml:space="preserve">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bookmarkEnd w:id="219"/>
    <w:bookmarkEnd w:id="220"/>
    <w:bookmarkStart w:id="231" w:name="X2e7ad4c8a8afdd269c7dbd1c8de4a73be2834e9"/>
    <w:p>
      <w:pPr>
        <w:pStyle w:val="Heading3"/>
      </w:pPr>
      <w:r>
        <w:t xml:space="preserve">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15</w:t>
        </w:r>
      </w:hyperlink>
      <w:r>
        <w:t xml:space="preserve">,</w:t>
      </w:r>
      <w:r>
        <w:t xml:space="preserve"> </w:t>
      </w:r>
      <w:hyperlink w:anchor="fig-aggregations">
        <w:r>
          <w:rPr>
            <w:rStyle w:val="Hyperlink"/>
          </w:rPr>
          <w:t xml:space="preserve">Figure 2</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0"/>
        </w:numPr>
      </w:pPr>
      <w:r>
        <w:t xml:space="preserve">40% of tows for systematic thinning (40% with bootstrap assurance);</w:t>
      </w:r>
    </w:p>
    <w:p>
      <w:pPr>
        <w:pStyle w:val="Compact"/>
        <w:numPr>
          <w:ilvl w:val="0"/>
          <w:numId w:val="1010"/>
        </w:numPr>
      </w:pPr>
      <w:r>
        <w:t xml:space="preserve">30% for random thinning;</w:t>
      </w:r>
    </w:p>
    <w:p>
      <w:pPr>
        <w:pStyle w:val="Compact"/>
        <w:numPr>
          <w:ilvl w:val="0"/>
          <w:numId w:val="1010"/>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221" w:name="tbl-thinning"/>
          <w:p>
            <w:pPr>
              <w:jc w:val="center"/>
            </w:pPr>
            <w:pPr>
              <w:jc w:val="start"/>
              <w:spacing w:before="200"/>
              <w:pStyle w:val="ImageCaption"/>
            </w:pPr>
            <w:r>
              <w:t xml:space="preserve">Table 15: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22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5" w:name="fig-aggregations-detail"/>
          <w:p>
            <w:pPr>
              <w:pStyle w:val="Compact"/>
              <w:jc w:val="center"/>
            </w:pPr>
            <w:r>
              <w:drawing>
                <wp:inline>
                  <wp:extent cx="5727700" cy="3512989"/>
                  <wp:effectExtent b="0" l="0" r="0" t="0"/>
                  <wp:docPr descr="" title="" id="223" name="Picture"/>
                  <a:graphic>
                    <a:graphicData uri="http://schemas.openxmlformats.org/drawingml/2006/picture">
                      <pic:pic>
                        <pic:nvPicPr>
                          <pic:cNvPr descr="../outputs/figures/fig13_manta_aggregation_cv.png" id="224" name="Picture"/>
                          <pic:cNvPicPr>
                            <a:picLocks noChangeArrowheads="1" noChangeAspect="1"/>
                          </pic:cNvPicPr>
                        </pic:nvPicPr>
                        <pic:blipFill>
                          <a:blip r:embed="rId222"/>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225"/>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16</w:t>
        </w:r>
      </w:hyperlink>
      <w:r>
        <w:t xml:space="preserve">,</w:t>
      </w:r>
      <w:r>
        <w:t xml:space="preserve"> </w:t>
      </w:r>
      <w:hyperlink w:anchor="fig-manta-model">
        <w:r>
          <w:rPr>
            <w:rStyle w:val="Hyperlink"/>
          </w:rPr>
          <w:t xml:space="preserve">Figure 20</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226" w:name="tbl-mantamodel"/>
          <w:p>
            <w:pPr>
              <w:jc w:val="center"/>
            </w:pPr>
            <w:pPr>
              <w:jc w:val="start"/>
              <w:spacing w:before="200"/>
              <w:pStyle w:val="ImageCaption"/>
            </w:pPr>
            <w:r>
              <w:t xml:space="preserve">Table 16: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22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0" w:name="fig-manta-model"/>
          <w:p>
            <w:pPr>
              <w:pStyle w:val="Compact"/>
              <w:jc w:val="center"/>
            </w:pPr>
            <w:r>
              <w:drawing>
                <wp:inline>
                  <wp:extent cx="5727700" cy="2825665"/>
                  <wp:effectExtent b="0" l="0" r="0" t="0"/>
                  <wp:docPr descr="" title="" id="228" name="Picture"/>
                  <a:graphic>
                    <a:graphicData uri="http://schemas.openxmlformats.org/drawingml/2006/picture">
                      <pic:pic>
                        <pic:nvPicPr>
                          <pic:cNvPr descr="../outputs/figures/fig16_manta_response_model.png" id="229" name="Picture"/>
                          <pic:cNvPicPr>
                            <a:picLocks noChangeArrowheads="1" noChangeAspect="1"/>
                          </pic:cNvPicPr>
                        </pic:nvPicPr>
                        <pic:blipFill>
                          <a:blip r:embed="rId227"/>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bookmarkEnd w:id="230"/>
        </w:tc>
      </w:tr>
    </w:tbl>
    <w:bookmarkEnd w:id="231"/>
    <w:bookmarkStart w:id="234" w:name="Xaf1dcd60e567179655897d58ed543a6948865fb"/>
    <w:p>
      <w:pPr>
        <w:pStyle w:val="Heading3"/>
      </w:pPr>
      <w:r>
        <w:t xml:space="preserve">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17</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232" w:name="tbl-classes"/>
          <w:p>
            <w:pPr>
              <w:jc w:val="center"/>
            </w:pPr>
            <w:pPr>
              <w:jc w:val="start"/>
              <w:spacing w:before="200"/>
              <w:pStyle w:val="ImageCaption"/>
            </w:pPr>
            <w:r>
              <w:t xml:space="preserve">Table 17: Original ≥0.02 evaluation: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232"/>
          <w:p/>
        </w:tc>
      </w:tr>
    </w:tbl>
    <w:p>
      <w:pPr>
        <w:pStyle w:val="BodyText"/>
      </w:pPr>
      <w:r>
        <w:t xml:space="preserve">The separate &gt;0.04 class summary (</w:t>
      </w:r>
      <w:hyperlink w:anchor="tbl-high-density-classes">
        <w:r>
          <w:rPr>
            <w:rStyle w:val="Hyperlink"/>
          </w:rPr>
          <w:t xml:space="preserve">Table 18</w:t>
        </w:r>
      </w:hyperlink>
      <w:r>
        <w:t xml:space="preserve">)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type="pct" w:w="5000"/>
        <w:tblLayout w:type="fixed"/>
        <w:tblLook w:firstRow="0" w:lastRow="0" w:firstColumn="0" w:lastColumn="0" w:noHBand="0" w:noVBand="0" w:val="0000"/>
      </w:tblPr>
      <w:tblGrid>
        <w:gridCol w:w="7920"/>
      </w:tblGrid>
      <w:tr>
        <w:tc>
          <w:tcPr/>
          <w:bookmarkStart w:id="233" w:name="tbl-high-density-classes"/>
          <w:p>
            <w:pPr>
              <w:jc w:val="center"/>
            </w:pPr>
            <w:pPr>
              <w:jc w:val="start"/>
              <w:spacing w:before="200"/>
              <w:pStyle w:val="ImageCaption"/>
            </w:pPr>
            <w:r>
              <w:t xml:space="preserve">Table 18: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type="pct" w:w="5000"/>
              <w:tblLayout w:type="fixed"/>
              <w:tblLook w:firstRow="1" w:lastRow="0" w:firstColumn="0" w:lastColumn="0" w:noHBand="0" w:noVBand="0" w:val="0020"/>
            </w:tblPr>
            <w:tblGrid>
              <w:gridCol w:w="1657"/>
              <w:gridCol w:w="1473"/>
              <w:gridCol w:w="2394"/>
              <w:gridCol w:w="2394"/>
            </w:tblGrid>
            <w:tr>
              <w:trPr>
                <w:tblHeader w:val="on"/>
              </w:trPr>
              <w:tc>
                <w:tcPr/>
                <w:p>
                  <w:pPr>
                    <w:pStyle w:val="Compact"/>
                    <w:jc w:val="left"/>
                    <w:jc w:val="center"/>
                  </w:pPr>
                  <w:r>
                    <w:t xml:space="preserve">Searching through</w:t>
                  </w:r>
                </w:p>
              </w:tc>
              <w:tc>
                <w:tcPr/>
                <w:p>
                  <w:pPr>
                    <w:pStyle w:val="Compact"/>
                    <w:jc w:val="right"/>
                    <w:jc w:val="center"/>
                  </w:pPr>
                  <w:r>
                    <w:t xml:space="preserve">Rank cutoff (%)</w:t>
                  </w:r>
                </w:p>
              </w:tc>
              <w:tc>
                <w:tcPr/>
                <w:p>
                  <w:pPr>
                    <w:pStyle w:val="Compact"/>
                    <w:jc w:val="left"/>
                    <w:jc w:val="center"/>
                  </w:pPr>
                  <w:r>
                    <w:t xml:space="preserve">High-density retained (%)</w:t>
                  </w:r>
                </w:p>
              </w:tc>
              <w:tc>
                <w:tcPr/>
                <w:p>
                  <w:pPr>
                    <w:pStyle w:val="Compact"/>
                    <w:jc w:val="left"/>
                    <w:jc w:val="center"/>
                  </w:pPr>
                  <w:r>
                    <w:t xml:space="preserve">Intermediate retained (%)</w:t>
                  </w:r>
                </w:p>
              </w:tc>
            </w:tr>
            <w:tr>
              <w:tc>
                <w:tcPr/>
                <w:p>
                  <w:pPr>
                    <w:pStyle w:val="Compact"/>
                    <w:jc w:val="left"/>
                    <w:jc w:val="center"/>
                  </w:pPr>
                  <w:r>
                    <w:t xml:space="preserve">A</w:t>
                  </w:r>
                </w:p>
              </w:tc>
              <w:tc>
                <w:tcPr/>
                <w:p>
                  <w:pPr>
                    <w:pStyle w:val="Compact"/>
                    <w:jc w:val="right"/>
                    <w:jc w:val="center"/>
                  </w:pPr>
                  <w:r>
                    <w:t xml:space="preserve">20</w:t>
                  </w:r>
                </w:p>
              </w:tc>
              <w:tc>
                <w:tcPr/>
                <w:p>
                  <w:pPr>
                    <w:pStyle w:val="Compact"/>
                    <w:jc w:val="left"/>
                    <w:jc w:val="center"/>
                  </w:pPr>
                  <w:r>
                    <w:t xml:space="preserve">33.6 [28.0–40.0]</w:t>
                  </w:r>
                </w:p>
              </w:tc>
              <w:tc>
                <w:tcPr/>
                <w:p>
                  <w:pPr>
                    <w:pStyle w:val="Compact"/>
                    <w:jc w:val="left"/>
                    <w:jc w:val="center"/>
                  </w:pPr>
                  <w:r>
                    <w:t xml:space="preserve">33.1 [29.3–36.5]</w:t>
                  </w:r>
                </w:p>
              </w:tc>
            </w:tr>
            <w:tr>
              <w:tc>
                <w:tcPr/>
                <w:p>
                  <w:pPr>
                    <w:pStyle w:val="Compact"/>
                    <w:jc w:val="left"/>
                    <w:jc w:val="center"/>
                  </w:pPr>
                  <w:r>
                    <w:t xml:space="preserve">A + B</w:t>
                  </w:r>
                </w:p>
              </w:tc>
              <w:tc>
                <w:tcPr/>
                <w:p>
                  <w:pPr>
                    <w:pStyle w:val="Compact"/>
                    <w:jc w:val="right"/>
                    <w:jc w:val="center"/>
                  </w:pPr>
                  <w:r>
                    <w:t xml:space="preserve">50</w:t>
                  </w:r>
                </w:p>
              </w:tc>
              <w:tc>
                <w:tcPr/>
                <w:p>
                  <w:pPr>
                    <w:pStyle w:val="Compact"/>
                    <w:jc w:val="left"/>
                    <w:jc w:val="center"/>
                  </w:pPr>
                  <w:r>
                    <w:t xml:space="preserve">63.8 [56.3–71.4]</w:t>
                  </w:r>
                </w:p>
              </w:tc>
              <w:tc>
                <w:tcPr/>
                <w:p>
                  <w:pPr>
                    <w:pStyle w:val="Compact"/>
                    <w:jc w:val="left"/>
                    <w:jc w:val="center"/>
                  </w:pPr>
                  <w:r>
                    <w:t xml:space="preserve">65.8 [62.0–69.3]</w:t>
                  </w:r>
                </w:p>
              </w:tc>
            </w:tr>
            <w:tr>
              <w:tc>
                <w:tcPr/>
                <w:p>
                  <w:pPr>
                    <w:pStyle w:val="Compact"/>
                    <w:jc w:val="left"/>
                    <w:jc w:val="center"/>
                  </w:pPr>
                  <w:r>
                    <w:t xml:space="preserve">A + B + C</w:t>
                  </w:r>
                </w:p>
              </w:tc>
              <w:tc>
                <w:tcPr/>
                <w:p>
                  <w:pPr>
                    <w:pStyle w:val="Compact"/>
                    <w:jc w:val="right"/>
                    <w:jc w:val="center"/>
                  </w:pPr>
                  <w:r>
                    <w:t xml:space="preserve">80</w:t>
                  </w:r>
                </w:p>
              </w:tc>
              <w:tc>
                <w:tcPr/>
                <w:p>
                  <w:pPr>
                    <w:pStyle w:val="Compact"/>
                    <w:jc w:val="left"/>
                    <w:jc w:val="center"/>
                  </w:pPr>
                  <w:r>
                    <w:t xml:space="preserve">89.7 [86.4–92.7]</w:t>
                  </w:r>
                </w:p>
              </w:tc>
              <w:tc>
                <w:tcPr/>
                <w:p>
                  <w:pPr>
                    <w:pStyle w:val="Compact"/>
                    <w:jc w:val="left"/>
                    <w:jc w:val="center"/>
                  </w:pPr>
                  <w:r>
                    <w:t xml:space="preserve">88.7 [87.0–90.3]</w:t>
                  </w:r>
                </w:p>
              </w:tc>
            </w:tr>
            <w:tr>
              <w:tc>
                <w:tcPr/>
                <w:p>
                  <w:pPr>
                    <w:pStyle w:val="Compact"/>
                    <w:jc w:val="left"/>
                    <w:jc w:val="center"/>
                  </w:pPr>
                  <w:r>
                    <w:t xml:space="preserve">All</w:t>
                  </w:r>
                </w:p>
              </w:tc>
              <w:tc>
                <w:tcPr/>
                <w:p>
                  <w:pPr>
                    <w:pStyle w:val="Compact"/>
                    <w:jc w:val="right"/>
                    <w:jc w:val="center"/>
                  </w:pPr>
                  <w:r>
                    <w:t xml:space="preserve">100</w:t>
                  </w:r>
                </w:p>
              </w:tc>
              <w:tc>
                <w:tcPr/>
                <w:p>
                  <w:pPr>
                    <w:pStyle w:val="Compact"/>
                    <w:jc w:val="left"/>
                    <w:jc w:val="center"/>
                  </w:pPr>
                  <w:r>
                    <w:t xml:space="preserve">100.0 [100.0–100.0]</w:t>
                  </w:r>
                </w:p>
              </w:tc>
              <w:tc>
                <w:tcPr/>
                <w:p>
                  <w:pPr>
                    <w:pStyle w:val="Compact"/>
                    <w:jc w:val="left"/>
                    <w:jc w:val="center"/>
                  </w:pPr>
                  <w:r>
                    <w:t xml:space="preserve">100.0 [100.0–100.0]</w:t>
                  </w:r>
                </w:p>
              </w:tc>
            </w:tr>
          </w:tbl>
          <w:bookmarkEnd w:id="233"/>
          <w:p/>
        </w:tc>
      </w:tr>
    </w:tbl>
    <w:p>
      <w:pPr>
        <w:pStyle w:val="BodyText"/>
      </w:pPr>
      <w:r>
        <w:t xml:space="preserve">The two sources share the ranking:</w:t>
      </w:r>
    </w:p>
    <w:p>
      <w:pPr>
        <w:pStyle w:val="Compact"/>
        <w:numPr>
          <w:ilvl w:val="0"/>
          <w:numId w:val="1011"/>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1"/>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1"/>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3</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pPr>
        <w:pStyle w:val="BodyText"/>
      </w:pPr>
      <w:r>
        <w:t xml:space="preserve">See</w:t>
      </w:r>
      <w:r>
        <w:t xml:space="preserve"> </w:t>
      </w:r>
      <w:hyperlink w:anchor="fig-2027">
        <w:r>
          <w:rPr>
            <w:rStyle w:val="Hyperlink"/>
          </w:rPr>
          <w:t xml:space="preserve">Figure 3</w:t>
        </w:r>
      </w:hyperlink>
      <w:r>
        <w:t xml:space="preserve"> </w:t>
      </w:r>
      <w:r>
        <w:t xml:space="preserve">in the main Results.</w:t>
      </w:r>
    </w:p>
    <w:p>
      <w:r>
        <w:br w:type="page"/>
      </w:r>
    </w:p>
    <w:bookmarkEnd w:id="234"/>
    <w:bookmarkEnd w:id="235"/>
    <w:bookmarkStart w:id="259" w:name="X89dbb52b0e02d7313f0d3a822f9d28fba3db392"/>
    <w:p>
      <w:pPr>
        <w:pStyle w:val="Heading2"/>
      </w:pPr>
      <w:r>
        <w:t xml:space="preserve">Appendix I: Updated metacommunity calibration and exploratory projections</w:t>
      </w:r>
    </w:p>
    <w:p>
      <w:pPr>
        <w:pStyle w:val="FirstParagraph"/>
      </w:pPr>
      <w:r>
        <w:t xml:space="preserve">This appendix reports the completed 21 October 2026 figure set for the current working model, identified in the source files as W-wave-lf04. The COTS and coral comparison combines source Figures 1 and 4 in</w:t>
      </w:r>
      <w:r>
        <w:t xml:space="preserve"> </w:t>
      </w:r>
      <w:hyperlink w:anchor="fig-metacommunity-cots-coral">
        <w:r>
          <w:rPr>
            <w:rStyle w:val="Hyperlink"/>
          </w:rPr>
          <w:t xml:space="preserve">Figure 4</w:t>
        </w:r>
      </w:hyperlink>
      <w:r>
        <w:t xml:space="preserve">. The remaining figures appear below, with panels rearranged for portrait pages and the source summaries and uncertainty bands retained. Appendix J preserves the 15 October snapshot as a development record.</w:t>
      </w:r>
    </w:p>
    <w:bookmarkStart w:id="236" w:name="calibration-updates-and-uncertainty"/>
    <w:p>
      <w:pPr>
        <w:pStyle w:val="Heading3"/>
      </w:pPr>
      <w:r>
        <w:t xml:space="preserve">Calibration updates and uncertainty</w:t>
      </w:r>
    </w:p>
    <w:p>
      <w:pPr>
        <w:pStyle w:val="FirstParagraph"/>
      </w:pPr>
      <w:r>
        <w:t xml:space="preserve">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regional checks. These decisions improved the working calibration without identifying a unique population mechanism</w:t>
      </w:r>
      <w:r>
        <w:t xml:space="preserve"> </w:t>
      </w:r>
      <w:r>
        <w:t xml:space="preserve">(open-AIMS, 2026a)</w:t>
      </w:r>
      <w:r>
        <w:t xml:space="preserve">.</w:t>
      </w:r>
    </w:p>
    <w:p>
      <w:pPr>
        <w:pStyle w:val="BodyText"/>
      </w:pPr>
      <w:r>
        <w:t xml:space="preserve">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pPr>
        <w:pStyle w:val="BodyText"/>
      </w:pPr>
      <w:r>
        <w:t xml:space="preserve">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bookmarkEnd w:id="236"/>
    <w:bookmarkStart w:id="245" w:name="recent-densities-and-additional-reefs"/>
    <w:p>
      <w:pPr>
        <w:pStyle w:val="Heading3"/>
      </w:pPr>
      <w:r>
        <w:t xml:space="preserve">Recent densities and additional reefs</w:t>
      </w:r>
    </w:p>
    <w:p>
      <w:pPr>
        <w:pStyle w:val="FirstParagraph"/>
      </w:pPr>
      <w:r>
        <w:t xml:space="preserve">The recent-density comparison (</w:t>
      </w:r>
      <w:hyperlink w:anchor="fig-metacommunity-recent-density">
        <w:r>
          <w:rPr>
            <w:rStyle w:val="Hyperlink"/>
          </w:rPr>
          <w:t xml:space="preserve">Figure 21</w:t>
        </w:r>
      </w:hyperlink>
      <w:r>
        <w:t xml:space="preserve">) shows partial agreement with diver estimates and differences among reefs. Corrected external irruption probabilities and density targets share cull and SALAD evidence, so this is a diagnostic comparison. The additional reefs (</w:t>
      </w:r>
      <w:hyperlink w:anchor="fig-metacommunity-additional">
        <w:r>
          <w:rPr>
            <w:rStyle w:val="Hyperlink"/>
          </w:rPr>
          <w:t xml:space="preserve">Figure 22</w:t>
        </w:r>
      </w:hyperlink>
      <w:r>
        <w:t xml:space="preserve">) show the contrast between historical irruption reefs and low-density ribbon reefs, while individual peak timing and size remain imperfect. These checks do not complete regional validation; Ribbon No 10 has no LTMP series here.</w:t>
      </w:r>
    </w:p>
    <w:tbl>
      <w:tblPr>
        <w:tblStyle w:val="Table"/>
        <w:tblW w:type="pct" w:w="5000"/>
        <w:tblLayout w:type="fixed"/>
        <w:tblLook w:firstRow="0" w:lastRow="0" w:firstColumn="0" w:lastColumn="0" w:noHBand="0" w:noVBand="0" w:val="0000"/>
      </w:tblPr>
      <w:tblGrid>
        <w:gridCol w:w="7920"/>
      </w:tblGrid>
      <w:tr>
        <w:tc>
          <w:tcPr/>
          <w:bookmarkStart w:id="240" w:name="fig-metacommunity-recent-density"/>
          <w:p>
            <w:pPr>
              <w:pStyle w:val="Compact"/>
              <w:jc w:val="center"/>
            </w:pPr>
            <w:r>
              <w:drawing>
                <wp:inline>
                  <wp:extent cx="5727700" cy="6770763"/>
                  <wp:effectExtent b="0" l="0" r="0" t="0"/>
                  <wp:docPr descr="" title="" id="238" name="Picture"/>
                  <a:graphic>
                    <a:graphicData uri="http://schemas.openxmlformats.org/drawingml/2006/picture">
                      <pic:pic>
                        <pic:nvPicPr>
                          <pic:cNvPr descr="../outputs/figures/fig23_metacommunity_recent_density.png" id="239" name="Picture"/>
                          <pic:cNvPicPr>
                            <a:picLocks noChangeArrowheads="1" noChangeAspect="1"/>
                          </pic:cNvPicPr>
                        </pic:nvPicPr>
                        <pic:blipFill>
                          <a:blip r:embed="rId237"/>
                          <a:stretch>
                            <a:fillRect/>
                          </a:stretch>
                        </pic:blipFill>
                        <pic:spPr bwMode="auto">
                          <a:xfrm>
                            <a:off x="0" y="0"/>
                            <a:ext cx="5727700" cy="67707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p>
          <w:bookmarkEnd w:id="2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4" w:name="fig-metacommunity-additional"/>
          <w:p>
            <w:pPr>
              <w:pStyle w:val="Compact"/>
              <w:jc w:val="center"/>
            </w:pPr>
            <w:r>
              <w:drawing>
                <wp:inline>
                  <wp:extent cx="5727700" cy="6587769"/>
                  <wp:effectExtent b="0" l="0" r="0" t="0"/>
                  <wp:docPr descr="" title="" id="242" name="Picture"/>
                  <a:graphic>
                    <a:graphicData uri="http://schemas.openxmlformats.org/drawingml/2006/picture">
                      <pic:pic>
                        <pic:nvPicPr>
                          <pic:cNvPr descr="../outputs/figures/fig24_metacommunity_additional_reefs.png" id="243" name="Picture"/>
                          <pic:cNvPicPr>
                            <a:picLocks noChangeArrowheads="1" noChangeAspect="1"/>
                          </pic:cNvPicPr>
                        </pic:nvPicPr>
                        <pic:blipFill>
                          <a:blip r:embed="rId241"/>
                          <a:stretch>
                            <a:fillRect/>
                          </a:stretch>
                        </pic:blipFill>
                        <pic:spPr bwMode="auto">
                          <a:xfrm>
                            <a:off x="0" y="0"/>
                            <a:ext cx="5727700" cy="658776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COTS trajectories on additional reefs outside the four-reef calibration fit (source Figure 3). Points show LTMP manta observations; Ribbon No 10 has no LTMP series. Blue and purple indicate culling-off and culling-on trajectories with the main figure’s range definitions.</w:t>
            </w:r>
          </w:p>
          <w:bookmarkEnd w:id="244"/>
        </w:tc>
      </w:tr>
    </w:tbl>
    <w:bookmarkEnd w:id="245"/>
    <w:bookmarkStart w:id="258" w:name="initial-control-projections-to-2050"/>
    <w:p>
      <w:pPr>
        <w:pStyle w:val="Heading3"/>
      </w:pPr>
      <w:r>
        <w:t xml:space="preserve">Initial control projections to 2050</w:t>
      </w:r>
    </w:p>
    <w:p>
      <w:pPr>
        <w:pStyle w:val="FirstParagraph"/>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w:t>
      </w:r>
      <w:r>
        <w:t xml:space="preserve"> </w:t>
      </w:r>
      <w:r>
        <w:t xml:space="preserve">“Recent effort”</w:t>
      </w:r>
      <w:r>
        <w:t xml:space="preserve"> </w:t>
      </w:r>
      <w:r>
        <w:t xml:space="preserve">uses 2023–25 diver-hours on each reef. Increased effort multiplies those hours; targeted effort reallocates the same total each half-year among reefs with at least 3 adults per hectare. Density-dependent catch rates determine adult removals, capped by the available population. Vessel travel and search costs are not represented explicitly.</w:t>
      </w:r>
    </w:p>
    <w:p>
      <w:pPr>
        <w:pStyle w:val="BodyText"/>
      </w:pPr>
      <w:r>
        <w:t xml:space="preserve">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pPr>
        <w:pStyle w:val="BodyText"/>
      </w:pPr>
      <w:r>
        <w:t xml:space="preserve">Increased effort lowered near-term COTS peaks, with climate-dependent coral outcomes (</w:t>
      </w:r>
      <w:hyperlink w:anchor="fig-metacommunity-projection245">
        <w:r>
          <w:rPr>
            <w:rStyle w:val="Hyperlink"/>
          </w:rPr>
          <w:t xml:space="preserve">Figure 23</w:t>
        </w:r>
      </w:hyperlink>
      <w:r>
        <w:t xml:space="preserve">,</w:t>
      </w:r>
      <w:r>
        <w:t xml:space="preserve"> </w:t>
      </w:r>
      <w:hyperlink w:anchor="fig-metacommunity-projection370">
        <w:r>
          <w:rPr>
            <w:rStyle w:val="Hyperlink"/>
          </w:rPr>
          <w:t xml:space="preserve">Figure 24</w:t>
        </w:r>
      </w:hyperlink>
      <w:r>
        <w:t xml:space="preserve">). Reallocation could increase domain-wide removals without providing the largest benefit at the five displayed reefs (</w:t>
      </w:r>
      <w:hyperlink w:anchor="fig-metacommunity-projection-effects">
        <w:r>
          <w:rPr>
            <w:rStyle w:val="Hyperlink"/>
          </w:rPr>
          <w:t xml:space="preserve">Figure 25</w:t>
        </w:r>
      </w:hyperlink>
      <w:r>
        <w:t xml:space="preserve">). Population and coral summaries cover those reefs, whereas removals cover the whole domain. These summaries cannot establish domain-wide coral protection or an optimal allocation; local and downstream outcomes and operational constraints need further assessment.</w:t>
      </w:r>
    </w:p>
    <w:tbl>
      <w:tblPr>
        <w:tblStyle w:val="Table"/>
        <w:tblW w:type="pct" w:w="5000"/>
        <w:tblLayout w:type="fixed"/>
        <w:tblLook w:firstRow="0" w:lastRow="0" w:firstColumn="0" w:lastColumn="0" w:noHBand="0" w:noVBand="0" w:val="0000"/>
      </w:tblPr>
      <w:tblGrid>
        <w:gridCol w:w="7920"/>
      </w:tblGrid>
      <w:tr>
        <w:tc>
          <w:tcPr/>
          <w:bookmarkStart w:id="249" w:name="fig-metacommunity-projection245"/>
          <w:p>
            <w:pPr>
              <w:pStyle w:val="Compact"/>
              <w:jc w:val="center"/>
            </w:pPr>
            <w:r>
              <w:drawing>
                <wp:inline>
                  <wp:extent cx="5727700" cy="7685731"/>
                  <wp:effectExtent b="0" l="0" r="0" t="0"/>
                  <wp:docPr descr="" title="" id="247" name="Picture"/>
                  <a:graphic>
                    <a:graphicData uri="http://schemas.openxmlformats.org/drawingml/2006/picture">
                      <pic:pic>
                        <pic:nvPicPr>
                          <pic:cNvPr descr="../outputs/figures/fig25_metacommunity_projection_ssp245.png" id="248" name="Picture"/>
                          <pic:cNvPicPr>
                            <a:picLocks noChangeArrowheads="1" noChangeAspect="1"/>
                          </pic:cNvPicPr>
                        </pic:nvPicPr>
                        <pic:blipFill>
                          <a:blip r:embed="rId246"/>
                          <a:stretch>
                            <a:fillRect/>
                          </a:stretch>
                        </pic:blipFill>
                        <pic:spPr bwMode="auto">
                          <a:xfrm>
                            <a:off x="0" y="0"/>
                            <a:ext cx="5727700" cy="7685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Exploratory COTS and coral projections under SSP2-4.5. Lines are medians across five climate models and five seed pairs. Bands show the 25th–75th percentiles for no further culling and three times recent effort, rather than confidence intervals.</w:t>
            </w:r>
            <w:r>
              <w:t xml:space="preserve"> </w:t>
            </w:r>
            <w:r>
              <w:t xml:space="preserve">“Targeted ×1”</w:t>
            </w:r>
            <w:r>
              <w:t xml:space="preserve"> </w:t>
            </w:r>
            <w:r>
              <w:t xml:space="preserve">reallocates the recent total effort. The dotted line separates history from projections. Recent population and outside-supply uncertainty carry forward.</w:t>
            </w:r>
          </w:p>
          <w:bookmarkEnd w:id="2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3" w:name="fig-metacommunity-projection370"/>
          <w:p>
            <w:pPr>
              <w:pStyle w:val="Compact"/>
              <w:jc w:val="center"/>
            </w:pPr>
            <w:r>
              <w:drawing>
                <wp:inline>
                  <wp:extent cx="5727700" cy="7685731"/>
                  <wp:effectExtent b="0" l="0" r="0" t="0"/>
                  <wp:docPr descr="" title="" id="251" name="Picture"/>
                  <a:graphic>
                    <a:graphicData uri="http://schemas.openxmlformats.org/drawingml/2006/picture">
                      <pic:pic>
                        <pic:nvPicPr>
                          <pic:cNvPr descr="../outputs/figures/fig26_metacommunity_projection_ssp370.png" id="252" name="Picture"/>
                          <pic:cNvPicPr>
                            <a:picLocks noChangeArrowheads="1" noChangeAspect="1"/>
                          </pic:cNvPicPr>
                        </pic:nvPicPr>
                        <pic:blipFill>
                          <a:blip r:embed="rId250"/>
                          <a:stretch>
                            <a:fillRect/>
                          </a:stretch>
                        </pic:blipFill>
                        <pic:spPr bwMode="auto">
                          <a:xfrm>
                            <a:off x="0" y="0"/>
                            <a:ext cx="5727700" cy="7685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The same exploratory effort comparisons under SSP3-7.0, with definitions matching the preceding figure. Lower COTS densities later in the period can accompany reduced coral food and should not be read as a control benefit.</w:t>
            </w:r>
          </w:p>
          <w:bookmarkEnd w:id="2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7" w:name="fig-metacommunity-projection-effects"/>
          <w:p>
            <w:pPr>
              <w:pStyle w:val="Compact"/>
              <w:jc w:val="center"/>
            </w:pPr>
            <w:r>
              <w:drawing>
                <wp:inline>
                  <wp:extent cx="5727700" cy="5215317"/>
                  <wp:effectExtent b="0" l="0" r="0" t="0"/>
                  <wp:docPr descr="" title="" id="255" name="Picture"/>
                  <a:graphic>
                    <a:graphicData uri="http://schemas.openxmlformats.org/drawingml/2006/picture">
                      <pic:pic>
                        <pic:nvPicPr>
                          <pic:cNvPr descr="../outputs/figures/fig27_metacommunity_projection_effects.png" id="256" name="Picture"/>
                          <pic:cNvPicPr>
                            <a:picLocks noChangeArrowheads="1" noChangeAspect="1"/>
                          </pic:cNvPicPr>
                        </pic:nvPicPr>
                        <pic:blipFill>
                          <a:blip r:embed="rId254"/>
                          <a:stretch>
                            <a:fillRect/>
                          </a:stretch>
                        </pic:blipFill>
                        <pic:spPr bwMode="auto">
                          <a:xfrm>
                            <a:off x="0" y="0"/>
                            <a:ext cx="5727700" cy="52153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 Exploratory effort comparisons for 2027–2050. Points are medians; bars span the 10th–90th percentiles across climate models and seeds. The first three panels average Lizard Island, MacGillivray, North Direction, Eyrie and Martin; the last counts adult removals across the whole domain.</w:t>
            </w:r>
            <w:r>
              <w:t xml:space="preserve"> </w:t>
            </w:r>
            <w:r>
              <w:t xml:space="preserve">“Recent”</w:t>
            </w:r>
            <w:r>
              <w:t xml:space="preserve"> </w:t>
            </w:r>
            <w:r>
              <w:t xml:space="preserve">retains the recent allocation,</w:t>
            </w:r>
            <w:r>
              <w:t xml:space="preserve"> </w:t>
            </w:r>
            <w:r>
              <w:t xml:space="preserve">“targeted”</w:t>
            </w:r>
            <w:r>
              <w:t xml:space="preserve"> </w:t>
            </w:r>
            <w:r>
              <w:t xml:space="preserve">reallocates it, and multipliers scale total hours. These are model-conditional scenarios.</w:t>
            </w:r>
          </w:p>
          <w:bookmarkEnd w:id="257"/>
        </w:tc>
      </w:tr>
    </w:tbl>
    <w:p>
      <w:r>
        <w:br w:type="page"/>
      </w:r>
    </w:p>
    <w:bookmarkEnd w:id="258"/>
    <w:bookmarkEnd w:id="259"/>
    <w:bookmarkStart w:id="273" w:name="Xcc293de55b344b077dfa7ad67ea8a696d84f2bd"/>
    <w:p>
      <w:pPr>
        <w:pStyle w:val="Heading2"/>
      </w:pPr>
      <w:r>
        <w:t xml:space="preserve">Appendix J: Archived 15 October metacommunity comparisons</w:t>
      </w:r>
    </w:p>
    <w:p>
      <w:pPr>
        <w:pStyle w:val="FirstParagraph"/>
      </w:pPr>
      <w:r>
        <w:t xml:space="preserve">The candidate codes below are technical identifiers. W denotes the working</w:t>
      </w:r>
      <w:r>
        <w:t xml:space="preserve"> </w:t>
      </w:r>
      <w:r>
        <w:t xml:space="preserve">configuration; the version with more initial preferred coral at Lizard Island is</w:t>
      </w:r>
      <w:r>
        <w:t xml:space="preserve"> </w:t>
      </w:r>
      <w:r>
        <w:t xml:space="preserve">C3a; the version with lower background coral mortality is C6. They remain</w:t>
      </w:r>
      <w:r>
        <w:t xml:space="preserve"> </w:t>
      </w:r>
      <w:r>
        <w:t xml:space="preserve">calibration alternatives, not validated control policies. Methods and scenario</w:t>
      </w:r>
      <w:r>
        <w:t xml:space="preserve"> </w:t>
      </w:r>
      <w:r>
        <w:t xml:space="preserve">design are documented in Appendix G; the following results retain the frozen</w:t>
      </w:r>
      <w:r>
        <w:t xml:space="preserve"> </w:t>
      </w:r>
      <w:r>
        <w:t xml:space="preserve">15 October 2026 reporting snapshot.</w:t>
      </w:r>
    </w:p>
    <w:bookmarkStart w:id="272" w:name="X151e8e61ae41e566b04ffdd1a9268931f2e1cb6"/>
    <w:p>
      <w:pPr>
        <w:pStyle w:val="Heading3"/>
      </w:pPr>
      <w:r>
        <w:t xml:space="preserve">Metacommunity model: calibration and current limitations</w:t>
      </w:r>
    </w:p>
    <w:bookmarkStart w:id="265" w:name="replicated-candidates"/>
    <w:p>
      <w:pPr>
        <w:pStyle w:val="Heading4"/>
      </w:pPr>
      <w:r>
        <w:t xml:space="preserve">Replicated candidates</w:t>
      </w:r>
    </w:p>
    <w:p>
      <w:pPr>
        <w:pStyle w:val="FirstParagraph"/>
      </w:pPr>
      <w:r>
        <w:t xml:space="preserve">The metacommunity model now reproduced both historical irruption waves on the reefs with two observed waves, although irruption heights and intervening densities remained imperfect (</w:t>
      </w:r>
      <w:hyperlink w:anchor="fig-metacommunity">
        <w:r>
          <w:rPr>
            <w:rStyle w:val="Hyperlink"/>
          </w:rPr>
          <w:t xml:space="preserve">Figure 26</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19</w:t>
        </w:r>
      </w:hyperlink>
      <w:r>
        <w:t xml:space="preserve">). Mean COTS losses overlapped in their variation across seeds. C3a produced a larger first Lizard irruption, 56.1 ± 6.5 adults ha</w:t>
      </w:r>
      <m:oMath>
        <m:sSup>
          <m:e>
            <m:r>
              <m:t>​</m:t>
            </m:r>
          </m:e>
          <m:sup>
            <m:r>
              <m:rPr>
                <m:sty m:val="p"/>
              </m:rPr>
              <m:t>−</m:t>
            </m:r>
            <m:r>
              <m:t>1</m:t>
            </m:r>
          </m:sup>
        </m:sSup>
      </m:oMath>
      <w:r>
        <w:t xml:space="preserve">, compared with 29.0 ± 2.3 for W, and had a lower coral error. However, it left more COTS between irruptions.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260" w:name="tbl-metacommunity"/>
          <w:p>
            <w:pPr>
              <w:jc w:val="center"/>
            </w:pPr>
            <w:pPr>
              <w:jc w:val="start"/>
              <w:spacing w:before="200"/>
              <w:pStyle w:val="ImageCaption"/>
            </w:pPr>
            <w:r>
              <w:t xml:space="preserve">Table 19: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2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4" w:name="fig-metacommunity"/>
          <w:p>
            <w:pPr>
              <w:pStyle w:val="Compact"/>
              <w:jc w:val="center"/>
            </w:pPr>
            <w:r>
              <w:drawing>
                <wp:inline>
                  <wp:extent cx="5727700" cy="4123944"/>
                  <wp:effectExtent b="0" l="0" r="0" t="0"/>
                  <wp:docPr descr="" title="" id="262" name="Picture"/>
                  <a:graphic>
                    <a:graphicData uri="http://schemas.openxmlformats.org/drawingml/2006/picture">
                      <pic:pic>
                        <pic:nvPicPr>
                          <pic:cNvPr descr="../outputs/figures/fig18_metacommunity_candidates.png" id="263" name="Picture"/>
                          <pic:cNvPicPr>
                            <a:picLocks noChangeArrowheads="1" noChangeAspect="1"/>
                          </pic:cNvPicPr>
                        </pic:nvPicPr>
                        <pic:blipFill>
                          <a:blip r:embed="rId261"/>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26: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264"/>
        </w:tc>
      </w:tr>
    </w:tbl>
    <w:bookmarkEnd w:id="265"/>
    <w:bookmarkStart w:id="266" w:name="X56736ed03ce88720409f947c3ec5594937ff621"/>
    <w:p>
      <w:pPr>
        <w:pStyle w:val="Heading4"/>
      </w:pPr>
      <w:r>
        <w:t xml:space="preserve">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266"/>
    <w:bookmarkStart w:id="271" w:name="extension-to-2026"/>
    <w:p>
      <w:pPr>
        <w:pStyle w:val="Heading4"/>
      </w:pPr>
      <w:r>
        <w:t xml:space="preserve">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27</w:t>
        </w:r>
      </w:hyperlink>
      <w:r>
        <w:t xml:space="preserve">).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270" w:name="fig-metacommunity-2026"/>
          <w:p>
            <w:pPr>
              <w:pStyle w:val="Compact"/>
              <w:jc w:val="center"/>
            </w:pPr>
            <w:r>
              <w:drawing>
                <wp:inline>
                  <wp:extent cx="5727700" cy="5956808"/>
                  <wp:effectExtent b="0" l="0" r="0" t="0"/>
                  <wp:docPr descr="" title="" id="268" name="Picture"/>
                  <a:graphic>
                    <a:graphicData uri="http://schemas.openxmlformats.org/drawingml/2006/picture">
                      <pic:pic>
                        <pic:nvPicPr>
                          <pic:cNvPr descr="../outputs/figures/fig19_metacommunity_2026_diagnostic.png" id="269" name="Picture"/>
                          <pic:cNvPicPr>
                            <a:picLocks noChangeArrowheads="1" noChangeAspect="1"/>
                          </pic:cNvPicPr>
                        </pic:nvPicPr>
                        <pic:blipFill>
                          <a:blip r:embed="rId267"/>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27: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270"/>
        </w:tc>
      </w:tr>
    </w:tbl>
    <w:p>
      <w:pPr>
        <w:pStyle w:val="BodyText"/>
      </w:pPr>
      <w:r>
        <w:t xml:space="preserve">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bookmarkEnd w:id="271"/>
    <w:bookmarkEnd w:id="272"/>
    <w:bookmarkEnd w:id="273"/>
    <w:bookmarkEnd w:id="274"/>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35" Target="media/rId135.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214" Target="media/rId214.png" /><Relationship Type="http://schemas.openxmlformats.org/officeDocument/2006/relationships/image" Id="rId167" Target="media/rId167.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222" Target="media/rId222.png" /><Relationship Type="http://schemas.openxmlformats.org/officeDocument/2006/relationships/image" Id="rId208" Target="media/rId208.png" /><Relationship Type="http://schemas.openxmlformats.org/officeDocument/2006/relationships/image" Id="rId184" Target="media/rId184.png" /><Relationship Type="http://schemas.openxmlformats.org/officeDocument/2006/relationships/image" Id="rId227" Target="media/rId227.png" /><Relationship Type="http://schemas.openxmlformats.org/officeDocument/2006/relationships/image" Id="rId47" Target="media/rId47.png" /><Relationship Type="http://schemas.openxmlformats.org/officeDocument/2006/relationships/image" Id="rId261" Target="media/rId261.png" /><Relationship Type="http://schemas.openxmlformats.org/officeDocument/2006/relationships/image" Id="rId267" Target="media/rId267.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237" Target="media/rId237.png" /><Relationship Type="http://schemas.openxmlformats.org/officeDocument/2006/relationships/image" Id="rId241" Target="media/rId241.png" /><Relationship Type="http://schemas.openxmlformats.org/officeDocument/2006/relationships/image" Id="rId246" Target="media/rId246.png" /><Relationship Type="http://schemas.openxmlformats.org/officeDocument/2006/relationships/image" Id="rId250" Target="media/rId250.png" /><Relationship Type="http://schemas.openxmlformats.org/officeDocument/2006/relationships/image" Id="rId254" Target="media/rId254.png" /><Relationship Type="http://schemas.openxmlformats.org/officeDocument/2006/relationships/hyperlink" Id="rId91" Target="https://doi.org/10.1002/ece3.71292" TargetMode="External" /><Relationship Type="http://schemas.openxmlformats.org/officeDocument/2006/relationships/hyperlink" Id="rId71" Target="https://doi.org/10.1002/ecm.1494" TargetMode="External" /><Relationship Type="http://schemas.openxmlformats.org/officeDocument/2006/relationships/hyperlink" Id="rId112" Target="https://doi.org/10.1007/s00338-020-01981-z" TargetMode="External" /><Relationship Type="http://schemas.openxmlformats.org/officeDocument/2006/relationships/hyperlink" Id="rId126" Target="https://doi.org/10.1007/s00338-024-02506-8" TargetMode="External" /><Relationship Type="http://schemas.openxmlformats.org/officeDocument/2006/relationships/hyperlink" Id="rId69" Target="https://doi.org/10.1007/s10661-014-4022-0" TargetMode="External" /><Relationship Type="http://schemas.openxmlformats.org/officeDocument/2006/relationships/hyperlink" Id="rId95" Target="https://doi.org/10.1016/bs.amb.2020.08.007" TargetMode="External" /><Relationship Type="http://schemas.openxmlformats.org/officeDocument/2006/relationships/hyperlink" Id="rId97" Target="https://doi.org/10.1016/bs.amb.2020.09.001" TargetMode="External" /><Relationship Type="http://schemas.openxmlformats.org/officeDocument/2006/relationships/hyperlink" Id="rId73" Target="https://doi.org/10.1038/s41598-023-46749-x" TargetMode="External" /><Relationship Type="http://schemas.openxmlformats.org/officeDocument/2006/relationships/hyperlink" Id="rId81" Target="https://doi.org/10.1073/pnas.1208909109" TargetMode="External" /><Relationship Type="http://schemas.openxmlformats.org/officeDocument/2006/relationships/hyperlink" Id="rId77" Target="https://doi.org/10.1098/rsos.201296" TargetMode="External" /><Relationship Type="http://schemas.openxmlformats.org/officeDocument/2006/relationships/hyperlink" Id="rId124" Target="https://doi.org/10.1111/2041-210X.13345" TargetMode="External" /><Relationship Type="http://schemas.openxmlformats.org/officeDocument/2006/relationships/hyperlink" Id="rId118" Target="https://doi.org/10.1111/ecog.02881" TargetMode="External" /><Relationship Type="http://schemas.openxmlformats.org/officeDocument/2006/relationships/hyperlink" Id="rId128" Target="https://doi.org/10.1111/ecog.04960" TargetMode="External" /><Relationship Type="http://schemas.openxmlformats.org/officeDocument/2006/relationships/hyperlink" Id="rId110" Target="https://doi.org/10.1111/ele.12757" TargetMode="External" /><Relationship Type="http://schemas.openxmlformats.org/officeDocument/2006/relationships/hyperlink" Id="rId75" Target="https://doi.org/10.1145/2939672.2939785" TargetMode="External" /><Relationship Type="http://schemas.openxmlformats.org/officeDocument/2006/relationships/hyperlink" Id="rId99" Target="https://doi.org/10.1371/journal.pone.0298073" TargetMode="External" /><Relationship Type="http://schemas.openxmlformats.org/officeDocument/2006/relationships/hyperlink" Id="rId67" Target="https://doi.org/10.25845/HD2Z-KM55" TargetMode="External" /><Relationship Type="http://schemas.openxmlformats.org/officeDocument/2006/relationships/hyperlink" Id="rId93" Target="https://doi.org/10.32942/X2HD3J" TargetMode="External" /><Relationship Type="http://schemas.openxmlformats.org/officeDocument/2006/relationships/hyperlink" Id="rId122" Target="https://doi.org/10.32942/X2J391" TargetMode="External" /><Relationship Type="http://schemas.openxmlformats.org/officeDocument/2006/relationships/hyperlink" Id="rId101" Target="https://doi.org/10.3354/meps10858" TargetMode="External" /><Relationship Type="http://schemas.openxmlformats.org/officeDocument/2006/relationships/hyperlink" Id="rId116" Target="https://doi.org/10.3390/d9040041" TargetMode="External" /><Relationship Type="http://schemas.openxmlformats.org/officeDocument/2006/relationships/hyperlink" Id="rId120" Target="https://doi.org/10.3390/rs13214343" TargetMode="External" /><Relationship Type="http://schemas.openxmlformats.org/officeDocument/2006/relationships/hyperlink" Id="rId79" Target="https://doi.org/10.64898/2026.04.13.718315" TargetMode="External" /><Relationship Type="http://schemas.openxmlformats.org/officeDocument/2006/relationships/hyperlink" Id="rId103" Target="https://github.com/open-AIMS/ADRIA.jl" TargetMode="External" /><Relationship Type="http://schemas.openxmlformats.org/officeDocument/2006/relationships/hyperlink" Id="rId106" Target="https://github.com/open-AIMS/COTSMod.jl" TargetMode="External" /><Relationship Type="http://schemas.openxmlformats.org/officeDocument/2006/relationships/hyperlink" Id="rId108" Target="https://github.com/open-AIMS/ReefGuide.jl" TargetMode="External" /><Relationship Type="http://schemas.openxmlformats.org/officeDocument/2006/relationships/hyperlink" Id="rId83" Target="https://nesptropical.edu.au/wp-content/uploads/2020/04/NESP-TWQ-Project-3.1.1-Technical-Report-2.pdf" TargetMode="External" /><Relationship Type="http://schemas.openxmlformats.org/officeDocument/2006/relationships/hyperlink" Id="rId87" Target="https://reef-geohub-ext-geohubgbrmpa.hub.arcgis.com/maps/2621ac24d749409395d7bb1dfdec5d5c/explore" TargetMode="External" /><Relationship Type="http://schemas.openxmlformats.org/officeDocument/2006/relationships/hyperlink" Id="rId85" Target="https://tiles-ap1.arcgis.com/8gXWSCxaJlFIfiTr/arcgis/rest/services/GBR10_GBRMP_Bathymetry/MapServer" TargetMode="External" /><Relationship Type="http://schemas.openxmlformats.org/officeDocument/2006/relationships/hyperlink" Id="rId114" Target="https://www.barrierreef.org/uploads/CCIP-EIP-02-Early-Investment-Project-COTS-Surveys-Final-Report.pdf" TargetMode="External" /><Relationship Type="http://schemas.openxmlformats.org/officeDocument/2006/relationships/hyperlink" Id="rId89" Target="https://www.gbrmpa.gov.au/our-work/programs-and-projects/crown-thorns-starfish-management/crown-thorns-starfish-control-program-dashboard"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2/ece3.71292" TargetMode="External" /><Relationship Type="http://schemas.openxmlformats.org/officeDocument/2006/relationships/hyperlink" Id="rId71" Target="https://doi.org/10.1002/ecm.1494" TargetMode="External" /><Relationship Type="http://schemas.openxmlformats.org/officeDocument/2006/relationships/hyperlink" Id="rId112" Target="https://doi.org/10.1007/s00338-020-01981-z" TargetMode="External" /><Relationship Type="http://schemas.openxmlformats.org/officeDocument/2006/relationships/hyperlink" Id="rId126" Target="https://doi.org/10.1007/s00338-024-02506-8" TargetMode="External" /><Relationship Type="http://schemas.openxmlformats.org/officeDocument/2006/relationships/hyperlink" Id="rId69" Target="https://doi.org/10.1007/s10661-014-4022-0" TargetMode="External" /><Relationship Type="http://schemas.openxmlformats.org/officeDocument/2006/relationships/hyperlink" Id="rId95" Target="https://doi.org/10.1016/bs.amb.2020.08.007" TargetMode="External" /><Relationship Type="http://schemas.openxmlformats.org/officeDocument/2006/relationships/hyperlink" Id="rId97" Target="https://doi.org/10.1016/bs.amb.2020.09.001" TargetMode="External" /><Relationship Type="http://schemas.openxmlformats.org/officeDocument/2006/relationships/hyperlink" Id="rId73" Target="https://doi.org/10.1038/s41598-023-46749-x" TargetMode="External" /><Relationship Type="http://schemas.openxmlformats.org/officeDocument/2006/relationships/hyperlink" Id="rId81" Target="https://doi.org/10.1073/pnas.1208909109" TargetMode="External" /><Relationship Type="http://schemas.openxmlformats.org/officeDocument/2006/relationships/hyperlink" Id="rId77" Target="https://doi.org/10.1098/rsos.201296" TargetMode="External" /><Relationship Type="http://schemas.openxmlformats.org/officeDocument/2006/relationships/hyperlink" Id="rId124" Target="https://doi.org/10.1111/2041-210X.13345" TargetMode="External" /><Relationship Type="http://schemas.openxmlformats.org/officeDocument/2006/relationships/hyperlink" Id="rId118" Target="https://doi.org/10.1111/ecog.02881" TargetMode="External" /><Relationship Type="http://schemas.openxmlformats.org/officeDocument/2006/relationships/hyperlink" Id="rId128" Target="https://doi.org/10.1111/ecog.04960" TargetMode="External" /><Relationship Type="http://schemas.openxmlformats.org/officeDocument/2006/relationships/hyperlink" Id="rId110" Target="https://doi.org/10.1111/ele.12757" TargetMode="External" /><Relationship Type="http://schemas.openxmlformats.org/officeDocument/2006/relationships/hyperlink" Id="rId75" Target="https://doi.org/10.1145/2939672.2939785" TargetMode="External" /><Relationship Type="http://schemas.openxmlformats.org/officeDocument/2006/relationships/hyperlink" Id="rId99" Target="https://doi.org/10.1371/journal.pone.0298073" TargetMode="External" /><Relationship Type="http://schemas.openxmlformats.org/officeDocument/2006/relationships/hyperlink" Id="rId67" Target="https://doi.org/10.25845/HD2Z-KM55" TargetMode="External" /><Relationship Type="http://schemas.openxmlformats.org/officeDocument/2006/relationships/hyperlink" Id="rId93" Target="https://doi.org/10.32942/X2HD3J" TargetMode="External" /><Relationship Type="http://schemas.openxmlformats.org/officeDocument/2006/relationships/hyperlink" Id="rId122" Target="https://doi.org/10.32942/X2J391" TargetMode="External" /><Relationship Type="http://schemas.openxmlformats.org/officeDocument/2006/relationships/hyperlink" Id="rId101" Target="https://doi.org/10.3354/meps10858" TargetMode="External" /><Relationship Type="http://schemas.openxmlformats.org/officeDocument/2006/relationships/hyperlink" Id="rId116" Target="https://doi.org/10.3390/d9040041" TargetMode="External" /><Relationship Type="http://schemas.openxmlformats.org/officeDocument/2006/relationships/hyperlink" Id="rId120" Target="https://doi.org/10.3390/rs13214343" TargetMode="External" /><Relationship Type="http://schemas.openxmlformats.org/officeDocument/2006/relationships/hyperlink" Id="rId79" Target="https://doi.org/10.64898/2026.04.13.718315" TargetMode="External" /><Relationship Type="http://schemas.openxmlformats.org/officeDocument/2006/relationships/hyperlink" Id="rId103" Target="https://github.com/open-AIMS/ADRIA.jl" TargetMode="External" /><Relationship Type="http://schemas.openxmlformats.org/officeDocument/2006/relationships/hyperlink" Id="rId106" Target="https://github.com/open-AIMS/COTSMod.jl" TargetMode="External" /><Relationship Type="http://schemas.openxmlformats.org/officeDocument/2006/relationships/hyperlink" Id="rId108" Target="https://github.com/open-AIMS/ReefGuide.jl" TargetMode="External" /><Relationship Type="http://schemas.openxmlformats.org/officeDocument/2006/relationships/hyperlink" Id="rId83" Target="https://nesptropical.edu.au/wp-content/uploads/2020/04/NESP-TWQ-Project-3.1.1-Technical-Report-2.pdf" TargetMode="External" /><Relationship Type="http://schemas.openxmlformats.org/officeDocument/2006/relationships/hyperlink" Id="rId87" Target="https://reef-geohub-ext-geohubgbrmpa.hub.arcgis.com/maps/2621ac24d749409395d7bb1dfdec5d5c/explore" TargetMode="External" /><Relationship Type="http://schemas.openxmlformats.org/officeDocument/2006/relationships/hyperlink" Id="rId85" Target="https://tiles-ap1.arcgis.com/8gXWSCxaJlFIfiTr/arcgis/rest/services/GBR10_GBRMP_Bathymetry/MapServer" TargetMode="External" /><Relationship Type="http://schemas.openxmlformats.org/officeDocument/2006/relationships/hyperlink" Id="rId114" Target="https://www.barrierreef.org/uploads/CCIP-EIP-02-Early-Investment-Project-COTS-Surveys-Final-Report.pdf" TargetMode="External" /><Relationship Type="http://schemas.openxmlformats.org/officeDocument/2006/relationships/hyperlink" Id="rId89" Target="https://www.gbrmpa.gov.au/our-work/programs-and-projects/crown-thorns-starfish-management/crown-thorns-starfish-control-program-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and when to search for COTS on a reef</dc:title>
  <dc:creator>[TO CONFIRM: author list and order]</dc:creator>
  <dc:language>en-AU</dc:language>
  <cp:keywords/>
  <dcterms:created xsi:type="dcterms:W3CDTF">2026-10-21T02:32:19Z</dcterms:created>
  <dcterms:modified xsi:type="dcterms:W3CDTF">2026-10-21T02:32:19Z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