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Análisis Cruzado:</w:t>
      </w:r>
    </w:p>
    <w:p>
      <w:pPr>
        <w:spacing w:after="200"/>
        <w:jc w:val="center"/>
      </w:pPr>
      <w:r>
        <w:rPr>
          <w:rFonts w:ascii="Arial" w:cs="Arial" w:eastAsia="Arial" w:hAnsi="Arial"/>
          <w:b/>
          <w:bCs/>
          <w:color w:val="1B3A5C"/>
          <w:sz w:val="40"/>
          <w:szCs w:val="40"/>
        </w:rPr>
        <w:t xml:space="preserve">Métricas IMU Propuestas</w:t>
      </w:r>
    </w:p>
    <w:p>
      <w:pPr>
        <w:spacing w:after="200"/>
        <w:jc w:val="center"/>
      </w:pPr>
      <w:r>
        <w:rPr>
          <w:rFonts w:ascii="Arial" w:cs="Arial" w:eastAsia="Arial" w:hAnsi="Arial"/>
          <w:b/>
          <w:bCs/>
          <w:color w:val="1B3A5C"/>
          <w:sz w:val="40"/>
          <w:szCs w:val="40"/>
        </w:rPr>
        <w:t xml:space="preserve">vs. Comentarios de los Revisores</w:t>
      </w:r>
    </w:p>
    <w:p>
      <w:pPr>
        <w:pBdr>
          <w:top w:val="single" w:color="2E5984" w:sz="6" w:space="12"/>
        </w:pBdr>
        <w:spacing w:after="100" w:before="600"/>
        <w:jc w:val="center"/>
      </w:pPr>
      <w:r>
        <w:rPr>
          <w:rFonts w:ascii="Arial" w:cs="Arial" w:eastAsia="Arial" w:hAnsi="Arial"/>
          <w:color w:val="3A7AB5"/>
          <w:sz w:val="28"/>
          <w:szCs w:val="28"/>
        </w:rPr>
        <w:t xml:space="preserve">Plan de Redacción y Protocolo Experimental</w:t>
      </w:r>
    </w:p>
    <w:p>
      <w:pPr>
        <w:spacing w:before="1200"/>
        <w:jc w:val="center"/>
      </w:pPr>
      <w:r>
        <w:rPr>
          <w:rFonts w:ascii="Arial" w:cs="Arial" w:eastAsia="Arial" w:hAnsi="Arial"/>
          <w:i/>
          <w:iCs/>
          <w:color w:val="666666"/>
          <w:sz w:val="24"/>
          <w:szCs w:val="24"/>
        </w:rPr>
        <w:t xml:space="preserve">Documento interno de trabajo</w:t>
      </w:r>
    </w:p>
    <w:p>
      <w:pPr>
        <w:spacing w:after="100"/>
        <w:jc w:val="center"/>
      </w:pPr>
      <w:r>
        <w:rPr>
          <w:rFonts w:ascii="Arial" w:cs="Arial" w:eastAsia="Arial" w:hAnsi="Arial"/>
          <w:color w:val="666666"/>
          <w:sz w:val="24"/>
          <w:szCs w:val="24"/>
        </w:rPr>
        <w:t xml:space="preserve">Mayo 2026</w:t>
      </w:r>
    </w:p>
    <w:p>
      <w:pPr>
        <w:sectPr>
          <w:pgSz w:w="12240" w:h="15840" w:orient="portrait"/>
          <w:pgMar w:top="1440" w:right="1440" w:bottom="1440" w:left="1440" w:header="708" w:footer="708" w:gutter="0"/>
          <w:pgNumType/>
          <w:docGrid w:linePitch="360"/>
        </w:sectPr>
      </w:pPr>
    </w:p>
    <w:p>
      <w:pPr>
        <w:pStyle w:val="Heading1"/>
      </w:pPr>
      <w:r>
        <w:t xml:space="preserve">1. Contexto y Objetivo de este Documento</w:t>
      </w:r>
    </w:p>
    <w:p>
      <w:pPr>
        <w:spacing w:after="160" w:line="276"/>
        <w:jc w:val="both"/>
      </w:pPr>
      <w:r>
        <w:rPr>
          <w:rFonts w:ascii="Arial" w:cs="Arial" w:eastAsia="Arial" w:hAnsi="Arial"/>
          <w:sz w:val="22"/>
          <w:szCs w:val="22"/>
        </w:rPr>
        <w:t xml:space="preserve">Este documento presenta un análisis sistemático del catálogo de métricas derivadas de la IMU que se propuso para caracterizar cada modo de locomoción del robot híbrido rueda-pata. El objetivo es doble: primero, evaluar con criterio experto si estas métricas satisfacen los comentarios explícitos de los tres revisores del manuscrito; segundo, proponer un plan de redacción y un protocolo experimental que cierre los huecos identificados.</w:t>
      </w:r>
    </w:p>
    <w:p>
      <w:pPr>
        <w:spacing w:after="160" w:line="276"/>
        <w:jc w:val="both"/>
      </w:pPr>
      <w:r>
        <w:rPr>
          <w:rFonts w:ascii="Arial" w:cs="Arial" w:eastAsia="Arial" w:hAnsi="Arial"/>
          <w:sz w:val="22"/>
          <w:szCs w:val="22"/>
        </w:rPr>
        <w:t xml:space="preserve">El catálogo de métricas evaluado incluye: Acceleration RMS y Vibration Index (VI), Shock Index (SI) y Crest Factor (CF), varianza de velocidad angular (σ_p, σ_q, σ_r), oscilación de roll/pitch (amplitud pico-a-pico, RMS, FFT/PSD), Jerk RMS y suavidad adimensional (LDLJ, SPARC), yaw drift y desviación de heading, y margen de estabilidad de actitud corporal (Δ_level).</w:t>
      </w:r>
    </w:p>
    <w:p>
      <w:pPr>
        <w:pStyle w:val="Heading1"/>
      </w:pPr>
      <w:r>
        <w:t xml:space="preserve">2. Comentarios de los Revisores Relevantes a Métricas</w:t>
      </w:r>
    </w:p>
    <w:p>
      <w:pPr>
        <w:spacing w:after="160" w:line="276"/>
        <w:jc w:val="both"/>
      </w:pPr>
      <w:r>
        <w:rPr>
          <w:rFonts w:ascii="Arial" w:cs="Arial" w:eastAsia="Arial" w:hAnsi="Arial"/>
          <w:sz w:val="22"/>
          <w:szCs w:val="22"/>
        </w:rPr>
        <w:t xml:space="preserve">A continuación se listan únicamente los comentarios de los tres revisores que exigen explícitamente métricas cuantitativas, validación experimental o comparación con benchmarks. Se omiten los comentarios sobre redacción, figuras o estructura, que se abordan en otros documentos de trabajo.</w:t>
      </w:r>
    </w:p>
    <w:p>
      <w:pPr>
        <w:pStyle w:val="Heading2"/>
      </w:pPr>
      <w:r>
        <w:t xml:space="preserve">2.1. Revisor 1</w:t>
      </w:r>
    </w:p>
    <w:p>
      <w:pPr>
        <w:spacing w:after="160" w:line="276"/>
        <w:jc w:val="both"/>
      </w:pPr>
      <w:r>
        <w:rPr>
          <w:rFonts w:ascii="Arial" w:cs="Arial" w:eastAsia="Arial" w:hAnsi="Arial"/>
          <w:b/>
          <w:bCs/>
          <w:sz w:val="22"/>
          <w:szCs w:val="22"/>
        </w:rPr>
        <w:t xml:space="preserve">Comentario #6: </w:t>
      </w:r>
      <w:r>
        <w:rPr>
          <w:rFonts w:ascii="Arial" w:cs="Arial" w:eastAsia="Arial" w:hAnsi="Arial"/>
          <w:sz w:val="22"/>
          <w:szCs w:val="22"/>
        </w:rPr>
        <w:t xml:space="preserve">El artículo diseña un MLP para reemplazar la percepción basada en IMU. La afirmación sobre la insuficiencia de roll, pitch y la desviación estándar de la aceleración en Z debería estar respaldada por experimentos comparativos. Dado que las IMUs se utilizan ampliamente, deberían existir métodos establecidos para tratar estas fluctuaciones.</w:t>
      </w:r>
    </w:p>
    <w:p>
      <w:pPr>
        <w:spacing w:after="160" w:line="276"/>
        <w:jc w:val="both"/>
      </w:pPr>
      <w:r>
        <w:rPr>
          <w:rFonts w:ascii="Arial" w:cs="Arial" w:eastAsia="Arial" w:hAnsi="Arial"/>
          <w:b/>
          <w:bCs/>
          <w:sz w:val="22"/>
          <w:szCs w:val="22"/>
        </w:rPr>
        <w:t xml:space="preserve">Comentario #10: </w:t>
      </w:r>
      <w:r>
        <w:rPr>
          <w:rFonts w:ascii="Arial" w:cs="Arial" w:eastAsia="Arial" w:hAnsi="Arial"/>
          <w:sz w:val="22"/>
          <w:szCs w:val="22"/>
        </w:rPr>
        <w:t xml:space="preserve">En la descripción del terreno irregular, proporcionar solo la altura máxima no es suficiente. Se deben incluir parámetros más detallados como media y varianza. Además, no hay valores negativos de altura, lo que limita la validación de generalidad.</w:t>
      </w:r>
    </w:p>
    <w:p>
      <w:pPr>
        <w:pStyle w:val="Heading2"/>
      </w:pPr>
      <w:r>
        <w:t xml:space="preserve">2.2. Revisor 2</w:t>
      </w:r>
    </w:p>
    <w:p>
      <w:pPr>
        <w:spacing w:after="160" w:line="276"/>
        <w:jc w:val="both"/>
      </w:pPr>
      <w:r>
        <w:rPr>
          <w:rFonts w:ascii="Arial" w:cs="Arial" w:eastAsia="Arial" w:hAnsi="Arial"/>
          <w:b/>
          <w:bCs/>
          <w:sz w:val="22"/>
          <w:szCs w:val="22"/>
        </w:rPr>
        <w:t xml:space="preserve">Comentario #2: </w:t>
      </w:r>
      <w:r>
        <w:rPr>
          <w:rFonts w:ascii="Arial" w:cs="Arial" w:eastAsia="Arial" w:hAnsi="Arial"/>
          <w:sz w:val="22"/>
          <w:szCs w:val="22"/>
        </w:rPr>
        <w:t xml:space="preserve">El diseño de control carece de rigor. Se basa en parámetros ajustados manualmente sin análisis de estabilidad, convergencia o robustez.</w:t>
      </w:r>
    </w:p>
    <w:p>
      <w:pPr>
        <w:spacing w:after="160" w:line="276"/>
        <w:jc w:val="both"/>
      </w:pPr>
      <w:r>
        <w:rPr>
          <w:rFonts w:ascii="Arial" w:cs="Arial" w:eastAsia="Arial" w:hAnsi="Arial"/>
          <w:b/>
          <w:bCs/>
          <w:sz w:val="22"/>
          <w:szCs w:val="22"/>
        </w:rPr>
        <w:t xml:space="preserve">Comentario #3: </w:t>
      </w:r>
      <w:r>
        <w:rPr>
          <w:rFonts w:ascii="Arial" w:cs="Arial" w:eastAsia="Arial" w:hAnsi="Arial"/>
          <w:sz w:val="22"/>
          <w:szCs w:val="22"/>
        </w:rPr>
        <w:t xml:space="preserve">Validación cuantitativa insuficiente. Faltan métricas como tasa de éxito, tiempo de respuesta, delay de cambio de gait, etc. Tampoco hay comparación con métodos base.</w:t>
      </w:r>
    </w:p>
    <w:p>
      <w:pPr>
        <w:pStyle w:val="Heading2"/>
      </w:pPr>
      <w:r>
        <w:t xml:space="preserve">2.3. Revisor 3</w:t>
      </w:r>
    </w:p>
    <w:p>
      <w:pPr>
        <w:spacing w:after="160" w:line="276"/>
        <w:jc w:val="both"/>
      </w:pPr>
      <w:r>
        <w:rPr>
          <w:rFonts w:ascii="Arial" w:cs="Arial" w:eastAsia="Arial" w:hAnsi="Arial"/>
          <w:b/>
          <w:bCs/>
          <w:sz w:val="22"/>
          <w:szCs w:val="22"/>
        </w:rPr>
        <w:t xml:space="preserve">Comentario #1: </w:t>
      </w:r>
      <w:r>
        <w:rPr>
          <w:rFonts w:ascii="Arial" w:cs="Arial" w:eastAsia="Arial" w:hAnsi="Arial"/>
          <w:sz w:val="22"/>
          <w:szCs w:val="22"/>
        </w:rPr>
        <w:t xml:space="preserve">La contribución basada en ganglios basales no está suficientemente validada ni biológica ni computacionalmente. No hay métricas de dinámica neuronal (latencia, estabilidad, etc.).</w:t>
      </w:r>
    </w:p>
    <w:p>
      <w:pPr>
        <w:spacing w:after="160" w:line="276"/>
        <w:jc w:val="both"/>
      </w:pPr>
      <w:r>
        <w:rPr>
          <w:rFonts w:ascii="Arial" w:cs="Arial" w:eastAsia="Arial" w:hAnsi="Arial"/>
          <w:b/>
          <w:bCs/>
          <w:sz w:val="22"/>
          <w:szCs w:val="22"/>
        </w:rPr>
        <w:t xml:space="preserve">Comentario #2: </w:t>
      </w:r>
      <w:r>
        <w:rPr>
          <w:rFonts w:ascii="Arial" w:cs="Arial" w:eastAsia="Arial" w:hAnsi="Arial"/>
          <w:sz w:val="22"/>
          <w:szCs w:val="22"/>
        </w:rPr>
        <w:t xml:space="preserve">El cambio de modos de locomoción carece de métricas cuantitativas como estabilidad, riesgo de vuelco, consumo energético, etc.</w:t>
      </w:r>
    </w:p>
    <w:p>
      <w:pPr>
        <w:spacing w:after="160" w:line="276"/>
        <w:jc w:val="both"/>
      </w:pPr>
      <w:r>
        <w:rPr>
          <w:rFonts w:ascii="Arial" w:cs="Arial" w:eastAsia="Arial" w:hAnsi="Arial"/>
          <w:b/>
          <w:bCs/>
          <w:sz w:val="22"/>
          <w:szCs w:val="22"/>
        </w:rPr>
        <w:t xml:space="preserve">Comentario #3: </w:t>
      </w:r>
      <w:r>
        <w:rPr>
          <w:rFonts w:ascii="Arial" w:cs="Arial" w:eastAsia="Arial" w:hAnsi="Arial"/>
          <w:sz w:val="22"/>
          <w:szCs w:val="22"/>
        </w:rPr>
        <w:t xml:space="preserve">La fusión sensorial no está formalmente diseñada. Es heurística y no se compara con métodos estándar como filtros de Kalman.</w:t>
      </w:r>
    </w:p>
    <w:p>
      <w:pPr>
        <w:spacing w:after="160" w:line="276"/>
        <w:jc w:val="both"/>
      </w:pPr>
      <w:r>
        <w:rPr>
          <w:rFonts w:ascii="Arial" w:cs="Arial" w:eastAsia="Arial" w:hAnsi="Arial"/>
          <w:b/>
          <w:bCs/>
          <w:sz w:val="22"/>
          <w:szCs w:val="22"/>
        </w:rPr>
        <w:t xml:space="preserve">Comentario #6: </w:t>
      </w:r>
      <w:r>
        <w:rPr>
          <w:rFonts w:ascii="Arial" w:cs="Arial" w:eastAsia="Arial" w:hAnsi="Arial"/>
          <w:sz w:val="22"/>
          <w:szCs w:val="22"/>
        </w:rPr>
        <w:t xml:space="preserve">No hay comparación con el estado del arte ni benchmarks.</w:t>
      </w:r>
    </w:p>
    <w:p>
      <w:pPr>
        <w:pStyle w:val="Heading1"/>
      </w:pPr>
      <w:r>
        <w:t xml:space="preserve">3. Análisis Cruzado: Métricas IMU vs. Comentarios</w:t>
      </w:r>
    </w:p>
    <w:p>
      <w:pPr>
        <w:pStyle w:val="Heading2"/>
      </w:pPr>
      <w:r>
        <w:t xml:space="preserve">3.1. Revisor 1, Comentario #6 — Insuficiencia de la IMU sola</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Respaldo experimental de que roll, pitch y σ_az son insuficientes por sí solos; comparar con métodos IMU establecidos.</w:t>
      </w:r>
    </w:p>
    <w:p>
      <w:pPr>
        <w:spacing w:after="160" w:line="276"/>
        <w:jc w:val="both"/>
      </w:pPr>
      <w:r>
        <w:rPr>
          <w:rFonts w:ascii="Arial" w:cs="Arial" w:eastAsia="Arial" w:hAnsi="Arial"/>
          <w:b/>
          <w:bCs/>
          <w:sz w:val="22"/>
          <w:szCs w:val="22"/>
        </w:rPr>
        <w:t xml:space="preserve">Métricas IMU que aplican directamente: </w:t>
      </w:r>
      <w:r>
        <w:rPr>
          <w:rFonts w:ascii="Arial" w:cs="Arial" w:eastAsia="Arial" w:hAnsi="Arial"/>
          <w:sz w:val="22"/>
          <w:szCs w:val="22"/>
        </w:rPr>
        <w:t xml:space="preserve">Las métricas de Roll/pitch oscillation (A_PP, σ_φ, FFT/PSD) y el Acceleration RMS / Vibration Index proporcionan exactamente el vocabulario técnico para mostrar por qué las señales crudas de roll, pitch y σ_az tienen limitaciones (ruido, drift, acoplamiento entre ejes). La FFT del roll/pitch puede demostrar que la frecuencia dominante se confunde con la frecuencia de gait, justificando el MLP como capa de abstracción.</w:t>
      </w:r>
    </w:p>
    <w:p>
      <w:pPr>
        <w:spacing w:after="160" w:line="276"/>
        <w:jc w:val="both"/>
      </w:pPr>
      <w:r>
        <w:rPr>
          <w:rFonts w:ascii="Arial" w:cs="Arial" w:eastAsia="Arial" w:hAnsi="Arial"/>
          <w:b/>
          <w:bCs/>
          <w:color w:val="1A7A1A"/>
          <w:sz w:val="22"/>
          <w:szCs w:val="22"/>
        </w:rPr>
        <w:t xml:space="preserve">Veredicto: ✅ Satisface, </w:t>
      </w:r>
      <w:r>
        <w:rPr>
          <w:rFonts w:ascii="Arial" w:cs="Arial" w:eastAsia="Arial" w:hAnsi="Arial"/>
          <w:sz w:val="22"/>
          <w:szCs w:val="22"/>
        </w:rPr>
        <w:t xml:space="preserve">pero hay que diseñar el experimento comparativo explícito: IMU-sola (umbrales en roll, pitch, σ_az) vs. MLP, midiendo tasa de falsos positivos y falsos negativos de detección de terreno inestable.</w:t>
      </w:r>
    </w:p>
    <w:p>
      <w:pPr>
        <w:pStyle w:val="Heading2"/>
      </w:pPr>
      <w:r>
        <w:t xml:space="preserve">3.2. Revisor 1, Comentario #10 — Parámetros del terreno</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Parámetros detallados del terreno irregular (media, varianza), no solo altura máxima.</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El Vibration Index y a_RMS caracterizan la respuesta del robot al terreno, pero la descripción del terreno mismo es independiente de la IMU. Pueden presentarse conjuntamente: perfil de terreno (media, varianza, PSD espacial) junto con la respuesta IMU correspondiente.</w:t>
      </w:r>
    </w:p>
    <w:p>
      <w:pPr>
        <w:spacing w:after="160" w:line="276"/>
        <w:jc w:val="both"/>
      </w:pPr>
      <w:r>
        <w:rPr>
          <w:rFonts w:ascii="Arial" w:cs="Arial" w:eastAsia="Arial" w:hAnsi="Arial"/>
          <w:b/>
          <w:bCs/>
          <w:color w:val="CC7A00"/>
          <w:sz w:val="22"/>
          <w:szCs w:val="22"/>
        </w:rPr>
        <w:t xml:space="preserve">Veredicto: ⚠️ Parcial. </w:t>
      </w:r>
      <w:r>
        <w:rPr>
          <w:rFonts w:ascii="Arial" w:cs="Arial" w:eastAsia="Arial" w:hAnsi="Arial"/>
          <w:sz w:val="22"/>
          <w:szCs w:val="22"/>
        </w:rPr>
        <w:t xml:space="preserve">Las métricas IMU complementan pero no sustituyen la necesidad de caracterizar el terreno geométricamente. Se necesita un perfil de terreno medido (escáner o regla + puntos) que acompañe a las curvas IMU.</w:t>
      </w:r>
    </w:p>
    <w:p>
      <w:pPr>
        <w:pStyle w:val="Heading2"/>
      </w:pPr>
      <w:r>
        <w:t xml:space="preserve">3.3. Revisor 2, Comentario #2 — Rigor del control</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Análisis de estabilidad, convergencia y robustez del diseño de control.</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El Body attitude stability margin (Δ_level = √(φ²+θ²)) y la varianza de velocidad angular (σ_p, σ_q, σ_r) son exactamente las métricas de estabilidad postural. El jerk RMS y LDLJ/SPARC cuantifican la suavidad de las transiciones. La convergencia se puede mostrar con la evolución temporal de Δ_level hacia un régimen estacionario tras cada cambio de modo.</w:t>
      </w:r>
    </w:p>
    <w:p>
      <w:pPr>
        <w:spacing w:after="160" w:line="276"/>
        <w:jc w:val="both"/>
      </w:pPr>
      <w:r>
        <w:rPr>
          <w:rFonts w:ascii="Arial" w:cs="Arial" w:eastAsia="Arial" w:hAnsi="Arial"/>
          <w:b/>
          <w:bCs/>
          <w:color w:val="CC7A00"/>
          <w:sz w:val="22"/>
          <w:szCs w:val="22"/>
        </w:rPr>
        <w:t xml:space="preserve">Veredicto: ⚠️ Parcial. </w:t>
      </w:r>
      <w:r>
        <w:rPr>
          <w:rFonts w:ascii="Arial" w:cs="Arial" w:eastAsia="Arial" w:hAnsi="Arial"/>
          <w:sz w:val="22"/>
          <w:szCs w:val="22"/>
        </w:rPr>
        <w:t xml:space="preserve">Satisface la parte de estabilidad del chasis. No satisface el análisis de estabilidad del controlador en sentido de Lyapunov ni de convergencia de la red neuronal, que es un problema matemático separado.</w:t>
      </w:r>
    </w:p>
    <w:p>
      <w:pPr>
        <w:pStyle w:val="Heading2"/>
      </w:pPr>
      <w:r>
        <w:t xml:space="preserve">3.4. Revisor 2, Comentario #3 — Tasa de éxito, delay, tiempo de respuesta</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Tasa de éxito, tiempo de respuesta, delay de cambio de gait, comparación con métodos base.</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(a) Delay de cambio de gait: se mide con la FFT del pitch/roll (instante en que la frecuencia dominante cambia), o como el tiempo entre que Δ_level cruza el umbral y la activación neuronal completa la transición. (b) Tiempo de respuesta: el jerk durante la transición y la duración del transitorio en σ_p, σ_q cuantifican qué tan rápido el robot se estabiliza en el nuevo modo. (c) Tasa de éxito: se define operacionalmente como el porcentaje de transiciones donde Δ_level no excede un umbral crítico (20–30°) y el robot completa el tramo.</w:t>
      </w:r>
    </w:p>
    <w:p>
      <w:pPr>
        <w:spacing w:after="160" w:line="276"/>
        <w:jc w:val="both"/>
      </w:pPr>
      <w:r>
        <w:rPr>
          <w:rFonts w:ascii="Arial" w:cs="Arial" w:eastAsia="Arial" w:hAnsi="Arial"/>
          <w:b/>
          <w:bCs/>
          <w:color w:val="1A7A1A"/>
          <w:sz w:val="22"/>
          <w:szCs w:val="22"/>
        </w:rPr>
        <w:t xml:space="preserve">Veredicto: ✅ Satisface plenamente, </w:t>
      </w:r>
      <w:r>
        <w:rPr>
          <w:rFonts w:ascii="Arial" w:cs="Arial" w:eastAsia="Arial" w:hAnsi="Arial"/>
          <w:sz w:val="22"/>
          <w:szCs w:val="22"/>
        </w:rPr>
        <w:t xml:space="preserve">si se diseñan los experimentos con N repeticiones suficientes para reportar media ± desviación estándar.</w:t>
      </w:r>
    </w:p>
    <w:p>
      <w:pPr>
        <w:pStyle w:val="Heading2"/>
      </w:pPr>
      <w:r>
        <w:t xml:space="preserve">3.5. Revisor 3, Comentario #1 — Dinámica neuronal</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Métricas de dinámica neuronal: latencia y estabilidad de la red de ganglios basales.</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Indirectamente. La latencia del circuito BG se mide como el delay entre el cruce del umbral IMU (σ_az &gt; 3.7 o pitch &gt; 15°) y la activación WTA del canal ganador. La estabilidad de la red se valida mostrando que las activaciones neuronales convergen a un punto fijo (sin oscilaciones espurias) usando las series temporales de X₀–X₂ y X₁₄–X₁₆ correlacionadas con las señales IMU.</w:t>
      </w:r>
    </w:p>
    <w:p>
      <w:pPr>
        <w:spacing w:after="160" w:line="276"/>
        <w:jc w:val="both"/>
      </w:pPr>
      <w:r>
        <w:rPr>
          <w:rFonts w:ascii="Arial" w:cs="Arial" w:eastAsia="Arial" w:hAnsi="Arial"/>
          <w:b/>
          <w:bCs/>
          <w:color w:val="CC7A00"/>
          <w:sz w:val="22"/>
          <w:szCs w:val="22"/>
        </w:rPr>
        <w:t xml:space="preserve">Veredicto: ⚠️ Parcial. </w:t>
      </w:r>
      <w:r>
        <w:rPr>
          <w:rFonts w:ascii="Arial" w:cs="Arial" w:eastAsia="Arial" w:hAnsi="Arial"/>
          <w:sz w:val="22"/>
          <w:szCs w:val="22"/>
        </w:rPr>
        <w:t xml:space="preserve">Las métricas IMU son la entrada que permite medir la latencia, pero se necesitan además métricas propias de la red (settling time, overshoot de la activación neuronal, ausencia de chattering).</w:t>
      </w:r>
    </w:p>
    <w:p>
      <w:pPr>
        <w:pStyle w:val="Heading2"/>
      </w:pPr>
      <w:r>
        <w:t xml:space="preserve">3.6. Revisor 3, Comentario #2 — Estabilidad, vuelco, energía</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Métricas cuantitativas de estabilidad, riesgo de vuelco y consumo energético para el cambio de modos.</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(a) Estabilidad: Δ_level, σ_φ, σ_θ, a_RMS — todas aplican directamente. (b) Riesgo de vuelco: Δ_level &gt; umbral crítico (~25–30° para esta plataforma) es un proxy directo; el crest factor CF detecta picos impulsivos que podrían volcar el robot. (c) Consumo energético: la IMU no mide consumo energético directamente. Se necesita medición de corriente de motores o estimación por torque.</w:t>
      </w:r>
    </w:p>
    <w:p>
      <w:pPr>
        <w:spacing w:after="160" w:line="276"/>
        <w:jc w:val="both"/>
      </w:pPr>
      <w:r>
        <w:rPr>
          <w:rFonts w:ascii="Arial" w:cs="Arial" w:eastAsia="Arial" w:hAnsi="Arial"/>
          <w:b/>
          <w:bCs/>
          <w:color w:val="CC7A00"/>
          <w:sz w:val="22"/>
          <w:szCs w:val="22"/>
        </w:rPr>
        <w:t xml:space="preserve">Veredicto: ⚠️ Parcial (2 de 3 satisfechos). </w:t>
      </w:r>
      <w:r>
        <w:rPr>
          <w:rFonts w:ascii="Arial" w:cs="Arial" w:eastAsia="Arial" w:hAnsi="Arial"/>
          <w:sz w:val="22"/>
          <w:szCs w:val="22"/>
        </w:rPr>
        <w:t xml:space="preserve">El consumo energético requiere instrumentación adicional (sensor de corriente) o al menos una estimación indirecta argumentada (e.g., el modo rodante en plano tiene menor a_RMS y por tanto menor trabajo mecánico disipado en vibración).</w:t>
      </w:r>
    </w:p>
    <w:p>
      <w:pPr>
        <w:pStyle w:val="Heading2"/>
      </w:pPr>
      <w:r>
        <w:t xml:space="preserve">3.7. Revisor 3, Comentario #3 — Fusión sensorial formal</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Fusión sensorial formal, comparación con filtros de Kalman.</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La sección de yaw drift menciona explícitamente que los MEMS driftan 0.5–5 deg/s sin magnetómetro, lo que justifica un EKF/complementary filter para la orientación. Sin embargo, las métricas IMU propuestas asumen que ya se tiene orientación fusionada limpia.</w:t>
      </w:r>
    </w:p>
    <w:p>
      <w:pPr>
        <w:spacing w:after="160" w:line="276"/>
        <w:jc w:val="both"/>
      </w:pPr>
      <w:r>
        <w:rPr>
          <w:rFonts w:ascii="Arial" w:cs="Arial" w:eastAsia="Arial" w:hAnsi="Arial"/>
          <w:b/>
          <w:bCs/>
          <w:color w:val="CC0000"/>
          <w:sz w:val="22"/>
          <w:szCs w:val="22"/>
        </w:rPr>
        <w:t xml:space="preserve">Veredicto: ❌ No satisface. </w:t>
      </w:r>
      <w:r>
        <w:rPr>
          <w:rFonts w:ascii="Arial" w:cs="Arial" w:eastAsia="Arial" w:hAnsi="Arial"/>
          <w:sz w:val="22"/>
          <w:szCs w:val="22"/>
        </w:rPr>
        <w:t xml:space="preserve">Este comentario pide justificar cómo se fusionan los datos, no qué métricas se extraen de ellos. Se necesita o bien implementar un filtro complementario/Madgwick/EKF y compararlo contra la heurística actual, o bien argumentar formalmente por qué la arquitectura actual es suficiente para el caso de uso.</w:t>
      </w:r>
    </w:p>
    <w:p>
      <w:pPr>
        <w:pStyle w:val="Heading2"/>
      </w:pPr>
      <w:r>
        <w:t xml:space="preserve">3.8. Revisor 3, Comentario #6 — Benchmarks y estado del arte</w:t>
      </w:r>
    </w:p>
    <w:p>
      <w:pPr>
        <w:spacing w:after="160" w:line="276"/>
        <w:jc w:val="both"/>
      </w:pPr>
      <w:r>
        <w:rPr>
          <w:rFonts w:ascii="Arial" w:cs="Arial" w:eastAsia="Arial" w:hAnsi="Arial"/>
          <w:b/>
          <w:bCs/>
          <w:sz w:val="22"/>
          <w:szCs w:val="22"/>
        </w:rPr>
        <w:t xml:space="preserve">Exigencia: </w:t>
      </w:r>
      <w:r>
        <w:rPr>
          <w:rFonts w:ascii="Arial" w:cs="Arial" w:eastAsia="Arial" w:hAnsi="Arial"/>
          <w:sz w:val="22"/>
          <w:szCs w:val="22"/>
        </w:rPr>
        <w:t xml:space="preserve">Comparación con estado del arte y benchmarks.</w:t>
      </w:r>
    </w:p>
    <w:p>
      <w:pPr>
        <w:spacing w:after="160" w:line="276"/>
        <w:jc w:val="both"/>
      </w:pPr>
      <w:r>
        <w:rPr>
          <w:rFonts w:ascii="Arial" w:cs="Arial" w:eastAsia="Arial" w:hAnsi="Arial"/>
          <w:b/>
          <w:bCs/>
          <w:sz w:val="22"/>
          <w:szCs w:val="22"/>
        </w:rPr>
        <w:t xml:space="preserve">Métricas IMU que aplican: </w:t>
      </w:r>
      <w:r>
        <w:rPr>
          <w:rFonts w:ascii="Arial" w:cs="Arial" w:eastAsia="Arial" w:hAnsi="Arial"/>
          <w:sz w:val="22"/>
          <w:szCs w:val="22"/>
        </w:rPr>
        <w:t xml:space="preserve">Los valores de referencia citados en el catálogo (ANYmal σ_p, σ_q ≈ 0.1–0.3 rad/s en trot a 1 m/s; Ascento σ_p &lt; 0.1 rad/s; EPFL Cheetah-cub roll ±3°, pitch ±5°) son exactamente el benchmark necesario. Se pueden tabular los resultados propios contra estos valores.</w:t>
      </w:r>
    </w:p>
    <w:p>
      <w:pPr>
        <w:spacing w:after="160" w:line="276"/>
        <w:jc w:val="both"/>
      </w:pPr>
      <w:r>
        <w:rPr>
          <w:rFonts w:ascii="Arial" w:cs="Arial" w:eastAsia="Arial" w:hAnsi="Arial"/>
          <w:b/>
          <w:bCs/>
          <w:color w:val="1A7A1A"/>
          <w:sz w:val="22"/>
          <w:szCs w:val="22"/>
        </w:rPr>
        <w:t xml:space="preserve">Veredicto: ✅ Satisface, </w:t>
      </w:r>
      <w:r>
        <w:rPr>
          <w:rFonts w:ascii="Arial" w:cs="Arial" w:eastAsia="Arial" w:hAnsi="Arial"/>
          <w:sz w:val="22"/>
          <w:szCs w:val="22"/>
        </w:rPr>
        <w:t xml:space="preserve">siempre que se presente la tabla comparativa explícita con los valores medidos en nuestro robot junto a los publicados.</w:t>
      </w:r>
    </w:p>
    <w:p>
      <w:pPr>
        <w:pStyle w:val="Heading1"/>
      </w:pPr>
      <w:r>
        <w:t xml:space="preserve">4. Tabla Resumen de Cobertura</w:t>
      </w:r>
    </w:p>
    <w:p>
      <w:pPr>
        <w:spacing w:after="160" w:line="276"/>
        <w:jc w:val="both"/>
      </w:pPr>
      <w:r>
        <w:rPr>
          <w:rFonts w:ascii="Arial" w:cs="Arial" w:eastAsia="Arial" w:hAnsi="Arial"/>
          <w:sz w:val="22"/>
          <w:szCs w:val="22"/>
        </w:rPr>
        <w:t xml:space="preserve">La siguiente tabla sintetiza el grado de cobertura de cada comentario del revisor y la acción adicional necesaria para cerrar los huecos.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1200"/>
        <w:gridCol w:w="4360"/>
      </w:tblGrid>
      <w:tr>
        <w:tc>
          <w:tcPr>
            <w:tcW w:type="dxa" w:w="11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w:t>
            </w:r>
          </w:p>
        </w:tc>
        <w:tc>
          <w:tcPr>
            <w:tcW w:type="dxa" w:w="3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Exigencia del revisor</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Cubierto</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Acción adicional necesaria</w:t>
            </w:r>
          </w:p>
        </w:tc>
      </w:tr>
      <w:tr>
        <w:tc>
          <w:tcPr>
            <w:tcW w:type="dxa" w:w="11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b/>
                <w:bCs/>
                <w:sz w:val="19"/>
                <w:szCs w:val="19"/>
              </w:rPr>
              <w:t xml:space="preserve">R1-#6</w:t>
            </w:r>
          </w:p>
        </w:tc>
        <w:tc>
          <w:tcPr>
            <w:tcW w:type="dxa" w:w="30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Respaldar con experimentos que roll, pitch y σ_az solos son insuficientes</w:t>
            </w:r>
          </w:p>
        </w:tc>
        <w:tc>
          <w:tcPr>
            <w:tcW w:type="dxa" w:w="12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19"/>
                <w:szCs w:val="19"/>
              </w:rPr>
              <w:t xml:space="preserve">✅ Sí</w:t>
            </w:r>
          </w:p>
        </w:tc>
        <w:tc>
          <w:tcPr>
            <w:tcW w:type="dxa" w:w="43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Experimento comparativo IMU-sola vs MLP (tasa de falsos positivos/negativos)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R1-#10</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Parámetros detallados del terreno (media, varianza, no solo altura máxima)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Parcial</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Medir perfil geométrico del terreno (escáner o regla + puntos)</w:t>
            </w:r>
          </w:p>
        </w:tc>
      </w:tr>
      <w:tr>
        <w:tc>
          <w:tcPr>
            <w:tcW w:type="dxa" w:w="11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b/>
                <w:bCs/>
                <w:sz w:val="19"/>
                <w:szCs w:val="19"/>
              </w:rPr>
              <w:t xml:space="preserve">R2-#2</w:t>
            </w:r>
          </w:p>
        </w:tc>
        <w:tc>
          <w:tcPr>
            <w:tcW w:type="dxa" w:w="30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Análisis de estabilidad, convergencia y robustez del control</w:t>
            </w:r>
          </w:p>
        </w:tc>
        <w:tc>
          <w:tcPr>
            <w:tcW w:type="dxa" w:w="12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19"/>
                <w:szCs w:val="19"/>
              </w:rPr>
              <w:t xml:space="preserve">⚠️ Parcial</w:t>
            </w:r>
          </w:p>
        </w:tc>
        <w:tc>
          <w:tcPr>
            <w:tcW w:type="dxa" w:w="43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Análisis de estabilidad del controlador (no solo del chasis)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R2-#3</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Tasa de éxito, tiempo de respuesta, delay de cambio de gait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Sí</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N repeticiones + estadísticas (media ± desviación estándar)</w:t>
            </w:r>
          </w:p>
        </w:tc>
      </w:tr>
      <w:tr>
        <w:tc>
          <w:tcPr>
            <w:tcW w:type="dxa" w:w="11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b/>
                <w:bCs/>
                <w:sz w:val="19"/>
                <w:szCs w:val="19"/>
              </w:rPr>
              <w:t xml:space="preserve">R3-#1</w:t>
            </w:r>
          </w:p>
        </w:tc>
        <w:tc>
          <w:tcPr>
            <w:tcW w:type="dxa" w:w="30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Métricas de dinámica neuronal: latencia, estabilidad de la red BG</w:t>
            </w:r>
          </w:p>
        </w:tc>
        <w:tc>
          <w:tcPr>
            <w:tcW w:type="dxa" w:w="12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19"/>
                <w:szCs w:val="19"/>
              </w:rPr>
              <w:t xml:space="preserve">⚠️ Parcial</w:t>
            </w:r>
          </w:p>
        </w:tc>
        <w:tc>
          <w:tcPr>
            <w:tcW w:type="dxa" w:w="43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Settling time y overshoot de la red BG</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R3-#2</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Métricas de estabilidad, riesgo de vuelco, consumo energético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Parcial</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Sensor de corriente para energía (o proxy con a_RMS)</w:t>
            </w:r>
          </w:p>
        </w:tc>
      </w:tr>
      <w:tr>
        <w:tc>
          <w:tcPr>
            <w:tcW w:type="dxa" w:w="11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b/>
                <w:bCs/>
                <w:sz w:val="19"/>
                <w:szCs w:val="19"/>
              </w:rPr>
              <w:t xml:space="preserve">R3-#3</w:t>
            </w:r>
          </w:p>
        </w:tc>
        <w:tc>
          <w:tcPr>
            <w:tcW w:type="dxa" w:w="30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Fusión sensorial formal, comparación con filtros de Kalman</w:t>
            </w:r>
          </w:p>
        </w:tc>
        <w:tc>
          <w:tcPr>
            <w:tcW w:type="dxa" w:w="120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19"/>
                <w:szCs w:val="19"/>
              </w:rPr>
              <w:t xml:space="preserve">❌ No</w:t>
            </w:r>
          </w:p>
        </w:tc>
        <w:tc>
          <w:tcPr>
            <w:tcW w:type="dxa" w:w="4360"/>
            <w:tcBorders>
              <w:top w:val="single" w:color="AAAAAA" w:sz="1"/>
              <w:left w:val="single" w:color="AAAAAA" w:sz="1"/>
              <w:bottom w:val="single" w:color="AAAAAA" w:sz="1"/>
              <w:right w:val="single" w:color="AAAAAA" w:sz="1"/>
            </w:tcBorders>
            <w:shd w:fill="F4F8FB" w:val="clear"/>
            <w:tcMar>
              <w:top w:type="dxa" w:w="60"/>
              <w:left w:type="dxa" w:w="100"/>
              <w:bottom w:type="dxa" w:w="60"/>
              <w:right w:type="dxa" w:w="100"/>
            </w:tcMar>
          </w:tcPr>
          <w:p>
            <w:pPr>
              <w:spacing w:after="40"/>
            </w:pPr>
            <w:r>
              <w:rPr>
                <w:rFonts w:ascii="Arial" w:cs="Arial" w:eastAsia="Arial" w:hAnsi="Arial"/>
                <w:sz w:val="20"/>
                <w:szCs w:val="20"/>
              </w:rPr>
              <w:t xml:space="preserve">Implementar/justificar filtro vs heurística actual</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19"/>
                <w:szCs w:val="19"/>
              </w:rPr>
              <w:t xml:space="preserve">R3-#6</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Comparación con estado del arte y benchmarks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 Sí</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20"/>
                <w:szCs w:val="20"/>
              </w:rPr>
              <w:t xml:space="preserve">Tabla comparativa con ANYmal, Ascento, Cheetah-cub, etc.</w:t>
            </w:r>
          </w:p>
        </w:tc>
      </w:tr>
    </w:tbl>
    <w:p>
      <w:pPr>
        <w:pStyle w:val="Heading1"/>
        <w:spacing w:before="480"/>
      </w:pPr>
      <w:r>
        <w:t xml:space="preserve">5. Plan de Redacción y Pruebas Experimentales</w:t>
      </w:r>
    </w:p>
    <w:p>
      <w:pPr>
        <w:spacing w:after="160" w:line="276"/>
        <w:jc w:val="both"/>
      </w:pPr>
      <w:r>
        <w:rPr>
          <w:rFonts w:ascii="Arial" w:cs="Arial" w:eastAsia="Arial" w:hAnsi="Arial"/>
          <w:sz w:val="22"/>
          <w:szCs w:val="22"/>
        </w:rPr>
        <w:t xml:space="preserve">Se proponen 4 bloques de trabajo, cada uno con su sección de escritura y su protocolo experimental correspondiente. Se presentan en el orden de ejecución recomendado.</w:t>
      </w:r>
    </w:p>
    <w:p>
      <w:pPr>
        <w:pStyle w:val="Heading2"/>
      </w:pPr>
      <w:r>
        <w:t xml:space="preserve">5.1. Bloque A — Caracterización por modo de locomoción</w:t>
      </w:r>
    </w:p>
    <w:p>
      <w:pPr>
        <w:spacing w:after="160" w:line="276"/>
        <w:jc w:val="both"/>
      </w:pPr>
      <w:r>
        <w:rPr>
          <w:rFonts w:ascii="Arial" w:cs="Arial" w:eastAsia="Arial" w:hAnsi="Arial"/>
          <w:b/>
          <w:bCs/>
          <w:color w:val="CC0000"/>
          <w:sz w:val="22"/>
          <w:szCs w:val="22"/>
        </w:rPr>
        <w:t xml:space="preserve">Prioridad: ALTA. </w:t>
      </w:r>
      <w:r>
        <w:rPr>
          <w:rFonts w:ascii="Arial" w:cs="Arial" w:eastAsia="Arial" w:hAnsi="Arial"/>
          <w:sz w:val="22"/>
          <w:szCs w:val="22"/>
        </w:rPr>
        <w:t xml:space="preserve">Satisface R2-#3, R3-#2 (parcial) y R3-#6.</w:t>
      </w:r>
    </w:p>
    <w:p>
      <w:pPr>
        <w:spacing w:after="160" w:line="276"/>
        <w:jc w:val="both"/>
      </w:pPr>
      <w:r>
        <w:rPr>
          <w:rFonts w:ascii="Arial" w:cs="Arial" w:eastAsia="Arial" w:hAnsi="Arial"/>
          <w:b/>
          <w:bCs/>
          <w:sz w:val="22"/>
          <w:szCs w:val="22"/>
        </w:rPr>
        <w:t xml:space="preserve">Sección en el paper: </w:t>
      </w:r>
      <w:r>
        <w:rPr>
          <w:rFonts w:ascii="Arial" w:cs="Arial" w:eastAsia="Arial" w:hAnsi="Arial"/>
          <w:sz w:val="22"/>
          <w:szCs w:val="22"/>
        </w:rPr>
        <w:t xml:space="preserve">Nueva subsección de Resultados titulada "Quantitative characterization of locomotion modes", con tres sub-bloques (rolling, walking, omnidirectional). Para cada modo se reporta una tabla con: a_RMS por eje, VI (Vibration Index), σ_p/σ_q/σ_r, amplitud pico-a-pico del roll y pitch (A_PP), frecuencia dominante del PSD, Δ_level medio, y jerk RMS. Los valores se comparan en la misma tabla con los benchmarks publicados de ANYmal, Ascento y Cheetah-cub.</w:t>
      </w:r>
    </w:p>
    <w:p>
      <w:pPr>
        <w:spacing w:after="160" w:line="276"/>
        <w:jc w:val="both"/>
      </w:pPr>
      <w:r>
        <w:rPr>
          <w:rFonts w:ascii="Arial" w:cs="Arial" w:eastAsia="Arial" w:hAnsi="Arial"/>
          <w:b/>
          <w:bCs/>
          <w:sz w:val="22"/>
          <w:szCs w:val="22"/>
        </w:rPr>
        <w:t xml:space="preserve">Protocolo experimental: </w:t>
      </w:r>
      <w:r>
        <w:rPr>
          <w:rFonts w:ascii="Arial" w:cs="Arial" w:eastAsia="Arial" w:hAnsi="Arial"/>
          <w:sz w:val="22"/>
          <w:szCs w:val="22"/>
        </w:rPr>
        <w:t xml:space="preserve">Ejecutar cada modo en terreno plano (baseline) y en terreno irregular, mínimo 5 repeticiones de 30 segundos cada una. Registrar IMU a ≥100 Hz. Procesar offline en Python (NumPy/SciPy). Calcular todas las métricas para cada repetición y reportar media ± desviación estándar.</w:t>
      </w:r>
    </w:p>
    <w:p>
      <w:pPr>
        <w:spacing w:after="160" w:line="276"/>
        <w:jc w:val="both"/>
      </w:pPr>
      <w:r>
        <w:rPr>
          <w:rFonts w:ascii="Arial" w:cs="Arial" w:eastAsia="Arial" w:hAnsi="Arial"/>
          <w:b/>
          <w:bCs/>
          <w:sz w:val="22"/>
          <w:szCs w:val="22"/>
        </w:rPr>
        <w:t xml:space="preserve">Entregable: </w:t>
      </w:r>
      <w:r>
        <w:rPr>
          <w:rFonts w:ascii="Arial" w:cs="Arial" w:eastAsia="Arial" w:hAnsi="Arial"/>
          <w:sz w:val="22"/>
          <w:szCs w:val="22"/>
        </w:rPr>
        <w:t xml:space="preserve">Tabla comparativa multi-modo + tabla vs. benchmarks de la literatura.</w:t>
      </w:r>
    </w:p>
    <w:p>
      <w:pPr>
        <w:pStyle w:val="Heading2"/>
      </w:pPr>
      <w:r>
        <w:t xml:space="preserve">5.2. Bloque B — Dinámica de transición entre modos</w:t>
      </w:r>
    </w:p>
    <w:p>
      <w:pPr>
        <w:spacing w:after="160" w:line="276"/>
        <w:jc w:val="both"/>
      </w:pPr>
      <w:r>
        <w:rPr>
          <w:rFonts w:ascii="Arial" w:cs="Arial" w:eastAsia="Arial" w:hAnsi="Arial"/>
          <w:b/>
          <w:bCs/>
          <w:color w:val="CC0000"/>
          <w:sz w:val="22"/>
          <w:szCs w:val="22"/>
        </w:rPr>
        <w:t xml:space="preserve">Prioridad: ALTA. </w:t>
      </w:r>
      <w:r>
        <w:rPr>
          <w:rFonts w:ascii="Arial" w:cs="Arial" w:eastAsia="Arial" w:hAnsi="Arial"/>
          <w:sz w:val="22"/>
          <w:szCs w:val="22"/>
        </w:rPr>
        <w:t xml:space="preserve">Satisface R2-#3 (delay, response time), R3-#1 (latencia neuronal) y R3-#2 (estabilidad durante transición).</w:t>
      </w:r>
    </w:p>
    <w:p>
      <w:pPr>
        <w:spacing w:after="160" w:line="276"/>
        <w:jc w:val="both"/>
      </w:pPr>
      <w:r>
        <w:rPr>
          <w:rFonts w:ascii="Arial" w:cs="Arial" w:eastAsia="Arial" w:hAnsi="Arial"/>
          <w:b/>
          <w:bCs/>
          <w:sz w:val="22"/>
          <w:szCs w:val="22"/>
        </w:rPr>
        <w:t xml:space="preserve">Sección en el paper: </w:t>
      </w:r>
      <w:r>
        <w:rPr>
          <w:rFonts w:ascii="Arial" w:cs="Arial" w:eastAsia="Arial" w:hAnsi="Arial"/>
          <w:sz w:val="22"/>
          <w:szCs w:val="22"/>
        </w:rPr>
        <w:t xml:space="preserve">Nueva subsección "Gait-transition dynamics". Para cada tipo de transición (rolling→walking, rolling→omnidirectional, omnidirectional→walking, y las inversas) se reporta: latencia de decisión (tiempo desde cruce de umbral IMU hasta activación WTA), settling time del chasis (tiempo hasta que σ_φ y σ_θ vuelven al régimen estacionario), overshoot de Δ_level durante la transición, y jerk pico (shock index). Se presentan como boxplots sobre N≥10 repeticiones.</w:t>
      </w:r>
    </w:p>
    <w:p>
      <w:pPr>
        <w:spacing w:after="160" w:line="276"/>
        <w:jc w:val="both"/>
      </w:pPr>
      <w:r>
        <w:rPr>
          <w:rFonts w:ascii="Arial" w:cs="Arial" w:eastAsia="Arial" w:hAnsi="Arial"/>
          <w:b/>
          <w:bCs/>
          <w:sz w:val="22"/>
          <w:szCs w:val="22"/>
        </w:rPr>
        <w:t xml:space="preserve">Protocolo experimental: </w:t>
      </w:r>
      <w:r>
        <w:rPr>
          <w:rFonts w:ascii="Arial" w:cs="Arial" w:eastAsia="Arial" w:hAnsi="Arial"/>
          <w:sz w:val="22"/>
          <w:szCs w:val="22"/>
        </w:rPr>
        <w:t xml:space="preserve">Forzar transiciones controladas (rampa de inclinación calibrada, obstáculo fijo). Registrar IMU + activaciones neuronales sincronizadas. Medir latencia como Δt entre el timestamp del cruce de umbral y el timestamp de la activación de X₁₄/X₁₅/X₁₆.</w:t>
      </w:r>
    </w:p>
    <w:p>
      <w:pPr>
        <w:spacing w:after="160" w:line="276"/>
        <w:jc w:val="both"/>
      </w:pPr>
      <w:r>
        <w:rPr>
          <w:rFonts w:ascii="Arial" w:cs="Arial" w:eastAsia="Arial" w:hAnsi="Arial"/>
          <w:b/>
          <w:bCs/>
          <w:sz w:val="22"/>
          <w:szCs w:val="22"/>
        </w:rPr>
        <w:t xml:space="preserve">Entregable: </w:t>
      </w:r>
      <w:r>
        <w:rPr>
          <w:rFonts w:ascii="Arial" w:cs="Arial" w:eastAsia="Arial" w:hAnsi="Arial"/>
          <w:sz w:val="22"/>
          <w:szCs w:val="22"/>
        </w:rPr>
        <w:t xml:space="preserve">Boxplots de latencia, settling time y overshoot por tipo de transición. Tabla resumen con estadísticas descriptivas.</w:t>
      </w:r>
    </w:p>
    <w:p>
      <w:pPr>
        <w:pStyle w:val="Heading2"/>
      </w:pPr>
      <w:r>
        <w:t xml:space="preserve">5.3. Bloque C — Comparativo IMU-sola vs. MLP</w:t>
      </w:r>
    </w:p>
    <w:p>
      <w:pPr>
        <w:spacing w:after="160" w:line="276"/>
        <w:jc w:val="both"/>
      </w:pPr>
      <w:r>
        <w:rPr>
          <w:rFonts w:ascii="Arial" w:cs="Arial" w:eastAsia="Arial" w:hAnsi="Arial"/>
          <w:b/>
          <w:bCs/>
          <w:color w:val="CC0000"/>
          <w:sz w:val="22"/>
          <w:szCs w:val="22"/>
        </w:rPr>
        <w:t xml:space="preserve">Prioridad: ALTA. </w:t>
      </w:r>
      <w:r>
        <w:rPr>
          <w:rFonts w:ascii="Arial" w:cs="Arial" w:eastAsia="Arial" w:hAnsi="Arial"/>
          <w:sz w:val="22"/>
          <w:szCs w:val="22"/>
        </w:rPr>
        <w:t xml:space="preserve">Satisface R1-#6 y R3-#4.</w:t>
      </w:r>
    </w:p>
    <w:p>
      <w:pPr>
        <w:spacing w:after="160" w:line="276"/>
        <w:jc w:val="both"/>
      </w:pPr>
      <w:r>
        <w:rPr>
          <w:rFonts w:ascii="Arial" w:cs="Arial" w:eastAsia="Arial" w:hAnsi="Arial"/>
          <w:b/>
          <w:bCs/>
          <w:sz w:val="22"/>
          <w:szCs w:val="22"/>
        </w:rPr>
        <w:t xml:space="preserve">Sección en el paper: </w:t>
      </w:r>
      <w:r>
        <w:rPr>
          <w:rFonts w:ascii="Arial" w:cs="Arial" w:eastAsia="Arial" w:hAnsi="Arial"/>
          <w:sz w:val="22"/>
          <w:szCs w:val="22"/>
        </w:rPr>
        <w:t xml:space="preserve">Nueva subsección "Justification of the MLP-based terrain classifier over raw IMU thresholds". Se comparan dos configuraciones: (i) decisión basada solo en umbrales de roll, pitch, σ_az (el esquema original de simulación), y (ii) decisión basada en la salida del MLP. Métricas de comparación: tasa de detección correcta de terreno inestable, tasa de falsos positivos (transición innecesaria), tasa de falsos negativos (no transicionar cuando debía), delay medio de detección. Se presenta una tabla y opcionalmente una curva ROC si hay umbral ajustable.</w:t>
      </w:r>
    </w:p>
    <w:p>
      <w:pPr>
        <w:spacing w:after="160" w:line="276"/>
        <w:jc w:val="both"/>
      </w:pPr>
      <w:r>
        <w:rPr>
          <w:rFonts w:ascii="Arial" w:cs="Arial" w:eastAsia="Arial" w:hAnsi="Arial"/>
          <w:b/>
          <w:bCs/>
          <w:sz w:val="22"/>
          <w:szCs w:val="22"/>
        </w:rPr>
        <w:t xml:space="preserve">Protocolo experimental: </w:t>
      </w:r>
      <w:r>
        <w:rPr>
          <w:rFonts w:ascii="Arial" w:cs="Arial" w:eastAsia="Arial" w:hAnsi="Arial"/>
          <w:sz w:val="22"/>
          <w:szCs w:val="22"/>
        </w:rPr>
        <w:t xml:space="preserve">Recolectar datos IMU en 3–4 tipos de terreno (plano, rugoso leve, rugoso severo, pendiente). Etiquetar ground truth manualmente. Evaluar ambos esquemas offline sobre los mismos datos. También reportar accuracy y F1 del MLP (esto satisface adicionalmente el comentario R3-#4 sobre evaluación estándar del MLP).</w:t>
      </w:r>
    </w:p>
    <w:p>
      <w:pPr>
        <w:spacing w:after="160" w:line="276"/>
        <w:jc w:val="both"/>
      </w:pPr>
      <w:r>
        <w:rPr>
          <w:rFonts w:ascii="Arial" w:cs="Arial" w:eastAsia="Arial" w:hAnsi="Arial"/>
          <w:b/>
          <w:bCs/>
          <w:sz w:val="22"/>
          <w:szCs w:val="22"/>
        </w:rPr>
        <w:t xml:space="preserve">Entregable: </w:t>
      </w:r>
      <w:r>
        <w:rPr>
          <w:rFonts w:ascii="Arial" w:cs="Arial" w:eastAsia="Arial" w:hAnsi="Arial"/>
          <w:sz w:val="22"/>
          <w:szCs w:val="22"/>
        </w:rPr>
        <w:t xml:space="preserve">Tabla comparativa IMU-sola vs. MLP con métricas de clasificación. Opcionalmente curva ROC.</w:t>
      </w:r>
    </w:p>
    <w:p>
      <w:pPr>
        <w:pStyle w:val="Heading2"/>
      </w:pPr>
      <w:r>
        <w:t xml:space="preserve">5.4. Bloque D — Argumentación de fusión sensorial y proxy energético</w:t>
      </w:r>
    </w:p>
    <w:p>
      <w:pPr>
        <w:spacing w:after="160" w:line="276"/>
        <w:jc w:val="both"/>
      </w:pPr>
      <w:r>
        <w:rPr>
          <w:rFonts w:ascii="Arial" w:cs="Arial" w:eastAsia="Arial" w:hAnsi="Arial"/>
          <w:b/>
          <w:bCs/>
          <w:color w:val="CC7A00"/>
          <w:sz w:val="22"/>
          <w:szCs w:val="22"/>
        </w:rPr>
        <w:t xml:space="preserve">Prioridad: MEDIA. </w:t>
      </w:r>
      <w:r>
        <w:rPr>
          <w:rFonts w:ascii="Arial" w:cs="Arial" w:eastAsia="Arial" w:hAnsi="Arial"/>
          <w:sz w:val="22"/>
          <w:szCs w:val="22"/>
        </w:rPr>
        <w:t xml:space="preserve">Satisface R3-#3 (parcial) y R3-#2 (energía, parcial).</w:t>
      </w:r>
    </w:p>
    <w:p>
      <w:pPr>
        <w:spacing w:after="160" w:line="276"/>
        <w:jc w:val="both"/>
      </w:pPr>
      <w:r>
        <w:rPr>
          <w:rFonts w:ascii="Arial" w:cs="Arial" w:eastAsia="Arial" w:hAnsi="Arial"/>
          <w:b/>
          <w:bCs/>
          <w:sz w:val="22"/>
          <w:szCs w:val="22"/>
        </w:rPr>
        <w:t xml:space="preserve">Sección en el paper: </w:t>
      </w:r>
      <w:r>
        <w:rPr>
          <w:rFonts w:ascii="Arial" w:cs="Arial" w:eastAsia="Arial" w:hAnsi="Arial"/>
          <w:sz w:val="22"/>
          <w:szCs w:val="22"/>
        </w:rPr>
        <w:t xml:space="preserve">En la sección de Métodos, agregar un párrafo que justifique formalmente por qué la fusión sensorial del sistema no requiere un EKF completo para el caso de uso actual. Argumentos clave: la orientación se obtiene del filtro interno del módulo IMU (e.g., Madgwick/Mahony del MPU-6050 o BNO055); las métricas derivadas (σ_az, roll, pitch) son robustas a drift de corto plazo porque se calculan en ventanas deslizantes; y el MLP actúa como capa de abstracción que absorbe ruido residual. Citar que plataformas similares (Ascento, ANYmal) usan el mismo enfoque de orientación fusionada on-chip + métricas derivadas de ventana.</w:t>
      </w:r>
    </w:p>
    <w:p>
      <w:pPr>
        <w:spacing w:after="160" w:line="276"/>
        <w:jc w:val="both"/>
      </w:pPr>
      <w:r>
        <w:rPr>
          <w:rFonts w:ascii="Arial" w:cs="Arial" w:eastAsia="Arial" w:hAnsi="Arial"/>
          <w:b/>
          <w:bCs/>
          <w:sz w:val="22"/>
          <w:szCs w:val="22"/>
        </w:rPr>
        <w:t xml:space="preserve">Para consumo energético: </w:t>
      </w:r>
      <w:r>
        <w:rPr>
          <w:rFonts w:ascii="Arial" w:cs="Arial" w:eastAsia="Arial" w:hAnsi="Arial"/>
          <w:sz w:val="22"/>
          <w:szCs w:val="22"/>
        </w:rPr>
        <w:t xml:space="preserve">Si no hay sensor de corriente disponible, argumentar que el a_RMS total es un proxy del trabajo mecánico vibratorio (citar Brooks &amp; Iagnemma, IEEE T-RO 2005). Presentar a_RMS por modo como indicador indirecto de eficiencia y declarar la medición directa de energía como trabajo futuro.</w:t>
      </w:r>
    </w:p>
    <w:p>
      <w:pPr>
        <w:spacing w:after="160" w:line="276"/>
        <w:jc w:val="both"/>
      </w:pPr>
      <w:r>
        <w:rPr>
          <w:rFonts w:ascii="Arial" w:cs="Arial" w:eastAsia="Arial" w:hAnsi="Arial"/>
          <w:b/>
          <w:bCs/>
          <w:sz w:val="22"/>
          <w:szCs w:val="22"/>
        </w:rPr>
        <w:t xml:space="preserve">Entregable: </w:t>
      </w:r>
      <w:r>
        <w:rPr>
          <w:rFonts w:ascii="Arial" w:cs="Arial" w:eastAsia="Arial" w:hAnsi="Arial"/>
          <w:sz w:val="22"/>
          <w:szCs w:val="22"/>
        </w:rPr>
        <w:t xml:space="preserve">Párrafo argumentativo en Métodos + tabla de a_RMS por modo como proxy energético.</w:t>
      </w:r>
    </w:p>
    <w:p>
      <w:pPr>
        <w:pStyle w:val="Heading1"/>
      </w:pPr>
      <w:r>
        <w:t xml:space="preserve">6. Orden de Ejecución Sugerido</w:t>
      </w:r>
    </w:p>
    <w:p>
      <w:pPr>
        <w:spacing w:after="160" w:line="276"/>
        <w:jc w:val="both"/>
      </w:pPr>
      <w:r>
        <w:rPr>
          <w:rFonts w:ascii="Arial" w:cs="Arial" w:eastAsia="Arial" w:hAnsi="Arial"/>
          <w:sz w:val="22"/>
          <w:szCs w:val="22"/>
        </w:rPr>
        <w:t xml:space="preserve">La secuencia lógica recomendada es la siguiente:</w:t>
      </w:r>
    </w:p>
    <w:p>
      <w:pPr>
        <w:spacing w:after="160" w:line="276"/>
        <w:jc w:val="both"/>
      </w:pPr>
      <w:r>
        <w:rPr>
          <w:rFonts w:ascii="Arial" w:cs="Arial" w:eastAsia="Arial" w:hAnsi="Arial"/>
          <w:b/>
          <w:bCs/>
          <w:sz w:val="22"/>
          <w:szCs w:val="22"/>
        </w:rPr>
        <w:t xml:space="preserve">1. Bloque A </w:t>
      </w:r>
      <w:r>
        <w:rPr>
          <w:rFonts w:ascii="Arial" w:cs="Arial" w:eastAsia="Arial" w:hAnsi="Arial"/>
          <w:sz w:val="22"/>
          <w:szCs w:val="22"/>
        </w:rPr>
        <w:t xml:space="preserve">(Caracterización por modo): genera los datos base que alimentan todo lo demás. Es el fundamento experimental sobre el cual se construyen los análisis de los bloques siguientes.</w:t>
      </w:r>
    </w:p>
    <w:p>
      <w:pPr>
        <w:spacing w:after="160" w:line="276"/>
        <w:jc w:val="both"/>
      </w:pPr>
      <w:r>
        <w:rPr>
          <w:rFonts w:ascii="Arial" w:cs="Arial" w:eastAsia="Arial" w:hAnsi="Arial"/>
          <w:b/>
          <w:bCs/>
          <w:sz w:val="22"/>
          <w:szCs w:val="22"/>
        </w:rPr>
        <w:t xml:space="preserve">2. Bloque B </w:t>
      </w:r>
      <w:r>
        <w:rPr>
          <w:rFonts w:ascii="Arial" w:cs="Arial" w:eastAsia="Arial" w:hAnsi="Arial"/>
          <w:sz w:val="22"/>
          <w:szCs w:val="22"/>
        </w:rPr>
        <w:t xml:space="preserve">(Dinámica de transición): usa los mismos datos del Bloque A más transiciones adicionales controladas. Se puede ejecutar en paralelo con la última parte del Bloque A si se coordinan las pruebas.</w:t>
      </w:r>
    </w:p>
    <w:p>
      <w:pPr>
        <w:spacing w:after="160" w:line="276"/>
        <w:jc w:val="both"/>
      </w:pPr>
      <w:r>
        <w:rPr>
          <w:rFonts w:ascii="Arial" w:cs="Arial" w:eastAsia="Arial" w:hAnsi="Arial"/>
          <w:b/>
          <w:bCs/>
          <w:sz w:val="22"/>
          <w:szCs w:val="22"/>
        </w:rPr>
        <w:t xml:space="preserve">3. Bloque C </w:t>
      </w:r>
      <w:r>
        <w:rPr>
          <w:rFonts w:ascii="Arial" w:cs="Arial" w:eastAsia="Arial" w:hAnsi="Arial"/>
          <w:sz w:val="22"/>
          <w:szCs w:val="22"/>
        </w:rPr>
        <w:t xml:space="preserve">(IMU-sola vs. MLP): procesamiento offline de los mismos logs recolectados en los Bloques A y B. No requiere pruebas físicas adicionales si los logs ya contienen los datos de IMU crudos y las etiquetas de terreno.</w:t>
      </w:r>
    </w:p>
    <w:p>
      <w:pPr>
        <w:spacing w:after="160" w:line="276"/>
        <w:jc w:val="both"/>
      </w:pPr>
      <w:r>
        <w:rPr>
          <w:rFonts w:ascii="Arial" w:cs="Arial" w:eastAsia="Arial" w:hAnsi="Arial"/>
          <w:b/>
          <w:bCs/>
          <w:sz w:val="22"/>
          <w:szCs w:val="22"/>
        </w:rPr>
        <w:t xml:space="preserve">4. Bloque D </w:t>
      </w:r>
      <w:r>
        <w:rPr>
          <w:rFonts w:ascii="Arial" w:cs="Arial" w:eastAsia="Arial" w:hAnsi="Arial"/>
          <w:sz w:val="22"/>
          <w:szCs w:val="22"/>
        </w:rPr>
        <w:t xml:space="preserve">(Fusión sensorial y energía): redacción argumentativa que cierra los huecos restantes. Puede escribirse en paralelo con el procesamiento de datos de los otros bloques.</w:t>
      </w:r>
    </w:p>
    <w:p>
      <w:pPr>
        <w:pStyle w:val="Heading1"/>
      </w:pPr>
      <w:r>
        <w:t xml:space="preserve">7. Notas Finales</w:t>
      </w:r>
    </w:p>
    <w:p>
      <w:pPr>
        <w:spacing w:after="160" w:line="276"/>
        <w:jc w:val="both"/>
      </w:pPr>
      <w:r>
        <w:rPr>
          <w:rFonts w:ascii="Arial" w:cs="Arial" w:eastAsia="Arial" w:hAnsi="Arial"/>
          <w:sz w:val="22"/>
          <w:szCs w:val="22"/>
        </w:rPr>
        <w:t xml:space="preserve">Es importante recordar que las métricas IMU propuestas son una herramienta poderosa pero no omnipotente. Cubren satisfactoriamente la mayoría de las exigencias de los revisores relacionadas con estabilidad, calidad de marcha, transiciones y benchmarks, pero dejan tres huecos que requieren atención específica:</w:t>
      </w:r>
    </w:p>
    <w:p>
      <w:pPr>
        <w:spacing w:after="160" w:line="276"/>
        <w:jc w:val="both"/>
      </w:pPr>
      <w:r>
        <w:rPr>
          <w:rFonts w:ascii="Arial" w:cs="Arial" w:eastAsia="Arial" w:hAnsi="Arial"/>
          <w:b/>
          <w:bCs/>
          <w:sz w:val="22"/>
          <w:szCs w:val="22"/>
        </w:rPr>
        <w:t xml:space="preserve">(a) Consumo energético: </w:t>
      </w:r>
      <w:r>
        <w:rPr>
          <w:rFonts w:ascii="Arial" w:cs="Arial" w:eastAsia="Arial" w:hAnsi="Arial"/>
          <w:sz w:val="22"/>
          <w:szCs w:val="22"/>
        </w:rPr>
        <w:t xml:space="preserve">idealmente requiere un sensor de corriente. Si no es viable, el proxy con a_RMS es aceptable pero debe argumentarse explícitamente y declararse como limitación.</w:t>
      </w:r>
    </w:p>
    <w:p>
      <w:pPr>
        <w:spacing w:after="160" w:line="276"/>
        <w:jc w:val="both"/>
      </w:pPr>
      <w:r>
        <w:rPr>
          <w:rFonts w:ascii="Arial" w:cs="Arial" w:eastAsia="Arial" w:hAnsi="Arial"/>
          <w:b/>
          <w:bCs/>
          <w:sz w:val="22"/>
          <w:szCs w:val="22"/>
        </w:rPr>
        <w:t xml:space="preserve">(b) Fusión sensorial: </w:t>
      </w:r>
      <w:r>
        <w:rPr>
          <w:rFonts w:ascii="Arial" w:cs="Arial" w:eastAsia="Arial" w:hAnsi="Arial"/>
          <w:sz w:val="22"/>
          <w:szCs w:val="22"/>
        </w:rPr>
        <w:t xml:space="preserve">el revisor 3 espera al menos una justificación formal de por qué no se usa un EKF. No basta con ignorar el comentario; hay que abordarlo con un argumento técnico sólido.</w:t>
      </w:r>
    </w:p>
    <w:p>
      <w:pPr>
        <w:spacing w:after="160" w:line="276"/>
        <w:jc w:val="both"/>
      </w:pPr>
      <w:r>
        <w:rPr>
          <w:rFonts w:ascii="Arial" w:cs="Arial" w:eastAsia="Arial" w:hAnsi="Arial"/>
          <w:b/>
          <w:bCs/>
          <w:sz w:val="22"/>
          <w:szCs w:val="22"/>
        </w:rPr>
        <w:t xml:space="preserve">(c) Estabilidad del controlador: </w:t>
      </w:r>
      <w:r>
        <w:rPr>
          <w:rFonts w:ascii="Arial" w:cs="Arial" w:eastAsia="Arial" w:hAnsi="Arial"/>
          <w:sz w:val="22"/>
          <w:szCs w:val="22"/>
        </w:rPr>
        <w:t xml:space="preserve">la estabilidad del chasis (medida con IMU) no es lo mismo que la estabilidad del controlador (análisis matemático). El revisor 2 pide ambas. La parte matemática puede abordarse mostrando convergencia empírica de las activaciones neuronales (settling time sin oscilaciones espurias) como evidencia experimental complementaria.</w:t>
      </w:r>
    </w:p>
    <w:p>
      <w:pPr>
        <w:spacing w:after="160" w:line="276"/>
        <w:jc w:val="both"/>
      </w:pPr>
      <w:r>
        <w:rPr>
          <w:rFonts w:ascii="Arial" w:cs="Arial" w:eastAsia="Arial" w:hAnsi="Arial"/>
          <w:sz w:val="22"/>
          <w:szCs w:val="22"/>
        </w:rPr>
        <w:t xml:space="preserve">Con los cuatro bloques ejecutados, el manuscrito tendrá una sección de resultados cuantitativos significativamente más robusta, respaldada por métricas estándar de la comunidad de robótica móvil y comparada contra plataformas de referencia.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4" w:sz="4" w:space="4"/>
      </w:pBdr>
      <w:jc w:val="right"/>
    </w:pPr>
    <w:r>
      <w:rPr>
        <w:rFonts w:ascii="Arial" w:cs="Arial" w:eastAsia="Arial" w:hAnsi="Arial"/>
        <w:i/>
        <w:iCs/>
        <w:color w:val="888888"/>
        <w:sz w:val="18"/>
        <w:szCs w:val="18"/>
      </w:rPr>
      <w:t xml:space="preserve">Análisis Métricas IMU vs. Revisores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2026-05-13T05:37:37.602Z</dcterms:created>
  <dcterms:modified xsi:type="dcterms:W3CDTF">2026-05-13T05:37:37.618Z</dcterms:modified>
</cp:coreProperties>
</file>

<file path=docProps/custom.xml><?xml version="1.0" encoding="utf-8"?>
<Properties xmlns="http://schemas.openxmlformats.org/officeDocument/2006/custom-properties" xmlns:vt="http://schemas.openxmlformats.org/officeDocument/2006/docPropsVTypes"/>
</file>