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27AC" w14:textId="77777777" w:rsidR="0091080F" w:rsidRDefault="0091080F">
      <w:pPr>
        <w:spacing w:before="2400"/>
        <w:jc w:val="center"/>
      </w:pPr>
    </w:p>
    <w:p w14:paraId="0752EADF" w14:textId="77777777" w:rsidR="0091080F" w:rsidRDefault="00892D7D">
      <w:pPr>
        <w:spacing w:after="160"/>
        <w:jc w:val="center"/>
      </w:pPr>
      <w:r>
        <w:rPr>
          <w:rFonts w:ascii="SimHei" w:eastAsia="SimHei" w:hAnsi="SimHei"/>
          <w:b/>
          <w:color w:val="1F3864"/>
          <w:sz w:val="52"/>
        </w:rPr>
        <w:t>2026</w:t>
      </w:r>
      <w:r>
        <w:rPr>
          <w:rFonts w:ascii="SimHei" w:eastAsia="SimHei" w:hAnsi="SimHei"/>
          <w:b/>
          <w:color w:val="1F3864"/>
          <w:sz w:val="52"/>
        </w:rPr>
        <w:t>年第三季度</w:t>
      </w:r>
    </w:p>
    <w:p w14:paraId="13092A62" w14:textId="77777777" w:rsidR="0091080F" w:rsidRDefault="00892D7D">
      <w:pPr>
        <w:spacing w:after="720"/>
        <w:jc w:val="center"/>
      </w:pPr>
      <w:r>
        <w:rPr>
          <w:rFonts w:ascii="SimHei" w:eastAsia="SimHei" w:hAnsi="SimHei"/>
          <w:b/>
          <w:color w:val="1F3864"/>
          <w:sz w:val="52"/>
        </w:rPr>
        <w:t>中国保险行业调研报告</w:t>
      </w:r>
    </w:p>
    <w:p w14:paraId="61AB9C02" w14:textId="77777777" w:rsidR="0091080F" w:rsidRDefault="00892D7D">
      <w:pPr>
        <w:spacing w:after="3600"/>
        <w:jc w:val="center"/>
      </w:pPr>
      <w:r>
        <w:rPr>
          <w:color w:val="666666"/>
        </w:rPr>
        <w:t>市场环境</w:t>
      </w:r>
      <w:r>
        <w:rPr>
          <w:color w:val="666666"/>
        </w:rPr>
        <w:t xml:space="preserve"> · </w:t>
      </w:r>
      <w:r>
        <w:rPr>
          <w:color w:val="666666"/>
        </w:rPr>
        <w:t>保费增长</w:t>
      </w:r>
      <w:r>
        <w:rPr>
          <w:color w:val="666666"/>
        </w:rPr>
        <w:t xml:space="preserve"> · </w:t>
      </w:r>
      <w:r>
        <w:rPr>
          <w:color w:val="666666"/>
        </w:rPr>
        <w:t>渠道变革</w:t>
      </w:r>
      <w:r>
        <w:rPr>
          <w:color w:val="666666"/>
        </w:rPr>
        <w:t xml:space="preserve"> · </w:t>
      </w:r>
      <w:r>
        <w:rPr>
          <w:color w:val="666666"/>
        </w:rPr>
        <w:t>趋势展望</w:t>
      </w:r>
    </w:p>
    <w:p w14:paraId="0F8CF197" w14:textId="77777777" w:rsidR="0091080F" w:rsidRDefault="00892D7D">
      <w:pPr>
        <w:spacing w:after="120"/>
        <w:jc w:val="center"/>
      </w:pPr>
      <w:r>
        <w:t>保险行业研究中心</w:t>
      </w:r>
    </w:p>
    <w:p w14:paraId="2D1CE0CF" w14:textId="77777777" w:rsidR="0091080F" w:rsidRDefault="00892D7D">
      <w:pPr>
        <w:spacing w:after="240"/>
        <w:jc w:val="center"/>
      </w:pPr>
      <w:r>
        <w:t>2026</w:t>
      </w:r>
      <w:r>
        <w:t>年</w:t>
      </w:r>
      <w:r>
        <w:t>10</w:t>
      </w:r>
      <w:r>
        <w:t>月</w:t>
      </w:r>
    </w:p>
    <w:p w14:paraId="47E92C75" w14:textId="77777777" w:rsidR="0091080F" w:rsidRDefault="00892D7D">
      <w:r>
        <w:br w:type="page"/>
      </w:r>
    </w:p>
    <w:p w14:paraId="575B5460" w14:textId="77777777" w:rsidR="0091080F" w:rsidRDefault="00892D7D">
      <w:pPr>
        <w:spacing w:after="240"/>
        <w:jc w:val="center"/>
      </w:pPr>
      <w:r>
        <w:rPr>
          <w:rFonts w:ascii="SimHei" w:eastAsia="SimHei" w:hAnsi="SimHei"/>
          <w:b/>
          <w:color w:val="1F3864"/>
          <w:sz w:val="36"/>
        </w:rPr>
        <w:lastRenderedPageBreak/>
        <w:t>目</w:t>
      </w:r>
      <w:r>
        <w:rPr>
          <w:rFonts w:ascii="SimHei" w:eastAsia="SimHei" w:hAnsi="SimHei"/>
          <w:b/>
          <w:color w:val="1F3864"/>
          <w:sz w:val="36"/>
        </w:rPr>
        <w:t xml:space="preserve">  </w:t>
      </w:r>
      <w:r>
        <w:rPr>
          <w:rFonts w:ascii="SimHei" w:eastAsia="SimHei" w:hAnsi="SimHei"/>
          <w:b/>
          <w:color w:val="1F3864"/>
          <w:sz w:val="36"/>
        </w:rPr>
        <w:t>录</w:t>
      </w:r>
    </w:p>
    <w:p w14:paraId="17E9E56C" w14:textId="4B6203EE" w:rsidR="004A38C7" w:rsidRDefault="00892D7D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6359173" w:history="1">
        <w:r w:rsidR="004A38C7" w:rsidRPr="001D23CD">
          <w:rPr>
            <w:rStyle w:val="aff9"/>
            <w:rFonts w:ascii="SimHei" w:eastAsia="SimHei" w:hAnsi="SimHei"/>
            <w:noProof/>
          </w:rPr>
          <w:t>第一章  报告概述</w:t>
        </w:r>
        <w:r w:rsidR="004A38C7">
          <w:rPr>
            <w:noProof/>
            <w:webHidden/>
          </w:rPr>
          <w:tab/>
        </w:r>
        <w:r w:rsidR="004A38C7">
          <w:rPr>
            <w:noProof/>
            <w:webHidden/>
          </w:rPr>
          <w:fldChar w:fldCharType="begin"/>
        </w:r>
        <w:r w:rsidR="004A38C7">
          <w:rPr>
            <w:noProof/>
            <w:webHidden/>
          </w:rPr>
          <w:instrText xml:space="preserve"> PAGEREF _Toc236359173 \h </w:instrText>
        </w:r>
        <w:r w:rsidR="004A38C7">
          <w:rPr>
            <w:noProof/>
            <w:webHidden/>
          </w:rPr>
        </w:r>
        <w:r w:rsidR="004A38C7">
          <w:rPr>
            <w:noProof/>
            <w:webHidden/>
          </w:rPr>
          <w:fldChar w:fldCharType="separate"/>
        </w:r>
        <w:r w:rsidR="004A38C7">
          <w:rPr>
            <w:noProof/>
            <w:webHidden/>
          </w:rPr>
          <w:t>4</w:t>
        </w:r>
        <w:r w:rsidR="004A38C7">
          <w:rPr>
            <w:noProof/>
            <w:webHidden/>
          </w:rPr>
          <w:fldChar w:fldCharType="end"/>
        </w:r>
      </w:hyperlink>
    </w:p>
    <w:p w14:paraId="031322B3" w14:textId="7767CE0F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74" w:history="1">
        <w:r w:rsidRPr="001D23CD">
          <w:rPr>
            <w:rStyle w:val="aff9"/>
            <w:rFonts w:ascii="SimHei" w:eastAsia="SimHei" w:hAnsi="SimHei"/>
            <w:noProof/>
          </w:rPr>
          <w:t>2.1  经济政策环境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26E4ED" w14:textId="48FF5512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75" w:history="1">
        <w:r w:rsidRPr="001D23CD">
          <w:rPr>
            <w:rStyle w:val="aff9"/>
            <w:rFonts w:ascii="SimHei" w:eastAsia="SimHei" w:hAnsi="SimHei"/>
            <w:noProof/>
          </w:rPr>
          <w:t>2.1.1  宏观经济运行情况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291EE8" w14:textId="7E50768D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76" w:history="1">
        <w:r w:rsidRPr="001D23CD">
          <w:rPr>
            <w:rStyle w:val="aff9"/>
            <w:rFonts w:ascii="SimHei" w:eastAsia="SimHei" w:hAnsi="SimHei"/>
            <w:noProof/>
          </w:rPr>
          <w:t>2.1.2  保险行业政策动态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938DB7" w14:textId="236C4486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77" w:history="1">
        <w:r w:rsidRPr="001D23CD">
          <w:rPr>
            <w:rStyle w:val="aff9"/>
            <w:rFonts w:ascii="SimHei" w:eastAsia="SimHei" w:hAnsi="SimHei"/>
            <w:noProof/>
          </w:rPr>
          <w:t>2.2  利率与资金面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B05A61" w14:textId="5275A770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78" w:history="1">
        <w:r w:rsidRPr="001D23CD">
          <w:rPr>
            <w:rStyle w:val="aff9"/>
            <w:rFonts w:ascii="SimHei" w:eastAsia="SimHei" w:hAnsi="SimHei"/>
            <w:noProof/>
          </w:rPr>
          <w:t>2.2.1  利率走势分析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881E38" w14:textId="0F87BB1D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79" w:history="1">
        <w:r w:rsidRPr="001D23CD">
          <w:rPr>
            <w:rStyle w:val="aff9"/>
            <w:rFonts w:ascii="SimHei" w:eastAsia="SimHei" w:hAnsi="SimHei"/>
            <w:noProof/>
          </w:rPr>
          <w:t>2.3  区域市场发展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FC2229" w14:textId="64AFE7DD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0" w:history="1">
        <w:r w:rsidRPr="001D23CD">
          <w:rPr>
            <w:rStyle w:val="aff9"/>
            <w:rFonts w:ascii="SimHei" w:eastAsia="SimHei" w:hAnsi="SimHei"/>
            <w:noProof/>
          </w:rPr>
          <w:t>2.3.1  区域保费分布特征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B7543E" w14:textId="12D74D51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1" w:history="1">
        <w:r w:rsidRPr="001D23CD">
          <w:rPr>
            <w:rStyle w:val="aff9"/>
            <w:rFonts w:ascii="SimHei" w:eastAsia="SimHei" w:hAnsi="SimHei"/>
            <w:noProof/>
          </w:rPr>
          <w:t>3.1  整体保费规模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277DBB" w14:textId="55F1962C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2" w:history="1">
        <w:r w:rsidRPr="001D23CD">
          <w:rPr>
            <w:rStyle w:val="aff9"/>
            <w:rFonts w:ascii="SimHei" w:eastAsia="SimHei" w:hAnsi="SimHei"/>
            <w:noProof/>
          </w:rPr>
          <w:t>3.1.1  原保险保费收入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0F330B" w14:textId="1851D695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3" w:history="1">
        <w:r w:rsidRPr="001D23CD">
          <w:rPr>
            <w:rStyle w:val="aff9"/>
            <w:rFonts w:ascii="SimHei" w:eastAsia="SimHei" w:hAnsi="SimHei"/>
            <w:noProof/>
          </w:rPr>
          <w:t>3.1.2  赔付支出情况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260B1C" w14:textId="561E28E1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4" w:history="1">
        <w:r w:rsidRPr="001D23CD">
          <w:rPr>
            <w:rStyle w:val="aff9"/>
            <w:rFonts w:ascii="SimHei" w:eastAsia="SimHei" w:hAnsi="SimHei"/>
            <w:noProof/>
          </w:rPr>
          <w:t>3.2  分险种保费结构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84EA0B" w14:textId="1D0B5CFA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5" w:history="1">
        <w:r w:rsidRPr="001D23CD">
          <w:rPr>
            <w:rStyle w:val="aff9"/>
            <w:rFonts w:ascii="SimHei" w:eastAsia="SimHei" w:hAnsi="SimHei"/>
            <w:noProof/>
          </w:rPr>
          <w:t>3.2.1  财产险保费分析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137CAB" w14:textId="43D7AE1C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6" w:history="1">
        <w:r w:rsidRPr="001D23CD">
          <w:rPr>
            <w:rStyle w:val="aff9"/>
            <w:rFonts w:ascii="SimHei" w:eastAsia="SimHei" w:hAnsi="SimHei"/>
            <w:noProof/>
          </w:rPr>
          <w:t>3.3  中小险企市场份额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A26956" w14:textId="480E1332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7" w:history="1">
        <w:r w:rsidRPr="001D23CD">
          <w:rPr>
            <w:rStyle w:val="aff9"/>
            <w:rFonts w:ascii="SimHei" w:eastAsia="SimHei" w:hAnsi="SimHei"/>
            <w:noProof/>
          </w:rPr>
          <w:t>4.1  传统保险产品创新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AFF172" w14:textId="1A5B5DA0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8" w:history="1">
        <w:r w:rsidRPr="001D23CD">
          <w:rPr>
            <w:rStyle w:val="aff9"/>
            <w:rFonts w:ascii="SimHei" w:eastAsia="SimHei" w:hAnsi="SimHei"/>
            <w:noProof/>
          </w:rPr>
          <w:t>4.2  新兴保险产品发展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CE56CA" w14:textId="7252FA90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89" w:history="1">
        <w:r w:rsidRPr="001D23CD">
          <w:rPr>
            <w:rStyle w:val="aff9"/>
            <w:rFonts w:ascii="SimHei" w:eastAsia="SimHei" w:hAnsi="SimHei"/>
            <w:noProof/>
          </w:rPr>
          <w:t>4.3  产品定价策略变化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E45BF2" w14:textId="2152CAE1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0" w:history="1">
        <w:r w:rsidRPr="001D23CD">
          <w:rPr>
            <w:rStyle w:val="aff9"/>
            <w:rFonts w:ascii="SimHei" w:eastAsia="SimHei" w:hAnsi="SimHei"/>
            <w:noProof/>
          </w:rPr>
          <w:t>4.4  再保险市场动态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A84794" w14:textId="60356EC9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1" w:history="1">
        <w:r w:rsidRPr="001D23CD">
          <w:rPr>
            <w:rStyle w:val="aff9"/>
            <w:rFonts w:ascii="SimHei" w:eastAsia="SimHei" w:hAnsi="SimHei"/>
            <w:noProof/>
          </w:rPr>
          <w:t>5.1  线下渠道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CECB90" w14:textId="6BA8EC9D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2" w:history="1">
        <w:r w:rsidRPr="001D23CD">
          <w:rPr>
            <w:rStyle w:val="aff9"/>
            <w:rFonts w:ascii="SimHei" w:eastAsia="SimHei" w:hAnsi="SimHei"/>
            <w:noProof/>
          </w:rPr>
          <w:t>5.1.1  个险渠道分析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642223" w14:textId="305D054B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3" w:history="1">
        <w:r w:rsidRPr="001D23CD">
          <w:rPr>
            <w:rStyle w:val="aff9"/>
            <w:rFonts w:ascii="SimHei" w:eastAsia="SimHei" w:hAnsi="SimHei"/>
            <w:noProof/>
          </w:rPr>
          <w:t>5.1.2  银保渠道分析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7E75DA" w14:textId="66FD0546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4" w:history="1">
        <w:r w:rsidRPr="001D23CD">
          <w:rPr>
            <w:rStyle w:val="aff9"/>
            <w:rFonts w:ascii="SimHei" w:eastAsia="SimHei" w:hAnsi="SimHei"/>
            <w:noProof/>
          </w:rPr>
          <w:t>5.2  线上渠道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7BFD92" w14:textId="51ACC482" w:rsidR="004A38C7" w:rsidRDefault="004A38C7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5" w:history="1">
        <w:r w:rsidRPr="001D23CD">
          <w:rPr>
            <w:rStyle w:val="aff9"/>
            <w:rFonts w:ascii="SimHei" w:eastAsia="SimHei" w:hAnsi="SimHei"/>
            <w:noProof/>
          </w:rPr>
          <w:t>5.2.1  互联网保险平台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BB878F" w14:textId="2D36124C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6" w:history="1">
        <w:r w:rsidRPr="001D23CD">
          <w:rPr>
            <w:rStyle w:val="aff9"/>
            <w:rFonts w:ascii="SimHei" w:eastAsia="SimHei" w:hAnsi="SimHei"/>
            <w:noProof/>
          </w:rPr>
          <w:t>6.1  风险评估体系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4C314C" w14:textId="605D0AA0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7" w:history="1">
        <w:r w:rsidRPr="001D23CD">
          <w:rPr>
            <w:rStyle w:val="aff9"/>
            <w:rFonts w:ascii="SimHei" w:eastAsia="SimHei" w:hAnsi="SimHei"/>
            <w:noProof/>
          </w:rPr>
          <w:t>6.2  理赔服务效率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0BFADE" w14:textId="422A6A2C" w:rsidR="004A38C7" w:rsidRDefault="004A38C7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8" w:history="1">
        <w:r w:rsidRPr="001D23CD">
          <w:rPr>
            <w:rStyle w:val="aff9"/>
            <w:rFonts w:ascii="SimHei" w:eastAsia="SimHei" w:hAnsi="SimHei"/>
            <w:noProof/>
          </w:rPr>
          <w:t>6.3  反欺诈技术应用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A3CA59" w14:textId="2F01A6C6" w:rsidR="004A38C7" w:rsidRDefault="004A38C7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199" w:history="1">
        <w:r w:rsidRPr="001D23CD">
          <w:rPr>
            <w:rStyle w:val="aff9"/>
            <w:rFonts w:ascii="SimHei" w:eastAsia="SimHei" w:hAnsi="SimHei"/>
            <w:noProof/>
          </w:rPr>
          <w:t>第七章  行业竞争格局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969EE8" w14:textId="3ED8B06B" w:rsidR="004A38C7" w:rsidRDefault="004A38C7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59200" w:history="1">
        <w:r w:rsidRPr="001D23CD">
          <w:rPr>
            <w:rStyle w:val="aff9"/>
            <w:rFonts w:ascii="SimHei" w:eastAsia="SimHei" w:hAnsi="SimHei"/>
            <w:noProof/>
          </w:rPr>
          <w:t>第八章  趋势展望与策略建议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_Toc236359200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C0D8D7" w14:textId="5C5B1DAB" w:rsidR="0091080F" w:rsidRDefault="00892D7D">
      <w:r>
        <w:fldChar w:fldCharType="end"/>
      </w:r>
    </w:p>
    <w:p w14:paraId="324B9483" w14:textId="77777777" w:rsidR="0091080F" w:rsidRDefault="00892D7D">
      <w:r>
        <w:br w:type="page"/>
      </w:r>
    </w:p>
    <w:p w14:paraId="188D285B" w14:textId="77777777" w:rsidR="0091080F" w:rsidRDefault="00892D7D">
      <w:pPr>
        <w:pStyle w:val="1"/>
        <w:spacing w:before="360" w:after="120"/>
      </w:pPr>
      <w:bookmarkStart w:id="0" w:name="_Toc236359173"/>
      <w:r>
        <w:rPr>
          <w:rFonts w:ascii="SimHei" w:eastAsia="SimHei" w:hAnsi="SimHei"/>
        </w:rPr>
        <w:lastRenderedPageBreak/>
        <w:t>第一章</w:t>
      </w:r>
      <w:r>
        <w:rPr>
          <w:rFonts w:ascii="SimHei" w:eastAsia="SimHei" w:hAnsi="SimHei"/>
        </w:rPr>
        <w:t xml:space="preserve">  </w:t>
      </w:r>
      <w:r>
        <w:rPr>
          <w:rFonts w:ascii="SimHei" w:eastAsia="SimHei" w:hAnsi="SimHei"/>
        </w:rPr>
        <w:t>报告概述</w:t>
      </w:r>
      <w:bookmarkEnd w:id="0"/>
    </w:p>
    <w:p w14:paraId="7A51D876" w14:textId="77777777" w:rsidR="0091080F" w:rsidRDefault="00892D7D">
      <w:pPr>
        <w:spacing w:after="80" w:line="360" w:lineRule="auto"/>
        <w:ind w:firstLineChars="200" w:firstLine="560"/>
      </w:pPr>
      <w:r>
        <w:rPr>
          <w:color w:val="F79646"/>
        </w:rPr>
        <w:t>本期报告聚焦</w:t>
      </w:r>
      <w:r>
        <w:rPr>
          <w:color w:val="F79646"/>
        </w:rPr>
        <w:t>2026</w:t>
      </w:r>
      <w:r>
        <w:rPr>
          <w:color w:val="F79646"/>
        </w:rPr>
        <w:t>年第三季度中国保险市场的运行情况，围绕宏观环境、保费景气度、产品迭代、渠道演进、风险管控及竞争格局六大维度展开系统性研判。本次调研走访覆盖全国</w:t>
      </w:r>
      <w:r>
        <w:rPr>
          <w:color w:val="F79646"/>
        </w:rPr>
        <w:t>31</w:t>
      </w:r>
      <w:r>
        <w:rPr>
          <w:color w:val="F79646"/>
        </w:rPr>
        <w:t>个省级行政区的</w:t>
      </w:r>
      <w:r>
        <w:rPr>
          <w:color w:val="F79646"/>
        </w:rPr>
        <w:t>158</w:t>
      </w:r>
      <w:r>
        <w:rPr>
          <w:color w:val="F79646"/>
        </w:rPr>
        <w:t>家保险机构，回收有效问卷逾</w:t>
      </w:r>
      <w:r>
        <w:rPr>
          <w:color w:val="F79646"/>
        </w:rPr>
        <w:t>13,500</w:t>
      </w:r>
      <w:r>
        <w:rPr>
          <w:color w:val="F79646"/>
        </w:rPr>
        <w:t>份，力求多角度、立体化地呈现行业最新动态。</w:t>
      </w:r>
    </w:p>
    <w:p w14:paraId="30EA29EB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调研立意与目标</w:t>
      </w:r>
    </w:p>
    <w:p w14:paraId="2256EA60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持续追踪保险业季度经营景气度，识别市场结构性拐点</w:t>
      </w:r>
    </w:p>
    <w:p w14:paraId="7B6A1BB8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研判宏观与监管环境变化向保险业传导的具体路径</w:t>
      </w:r>
    </w:p>
    <w:p w14:paraId="30B6608C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检验产品端创新与渠道端变革的阶段成效</w:t>
      </w:r>
    </w:p>
    <w:p w14:paraId="5FA2BAB1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为机构经营决策与监管政策完善提供数据依据</w:t>
      </w:r>
    </w:p>
    <w:p w14:paraId="00E0FE5B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调研边界与方法论</w:t>
      </w:r>
    </w:p>
    <w:p w14:paraId="528AABAB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信息来源：金融监管部门披露数据、行业协会月报、上市公司财报、一线机构走访访谈</w:t>
      </w:r>
    </w:p>
    <w:p w14:paraId="2CE8AB52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样本构成：人身险公司</w:t>
      </w:r>
      <w:r>
        <w:rPr>
          <w:color w:val="F79646"/>
          <w:sz w:val="21"/>
        </w:rPr>
        <w:t>82</w:t>
      </w:r>
      <w:r>
        <w:rPr>
          <w:color w:val="F79646"/>
          <w:sz w:val="21"/>
        </w:rPr>
        <w:t>家、财产险公司</w:t>
      </w:r>
      <w:r>
        <w:rPr>
          <w:color w:val="F79646"/>
          <w:sz w:val="21"/>
        </w:rPr>
        <w:t>76</w:t>
      </w:r>
      <w:r>
        <w:rPr>
          <w:color w:val="F79646"/>
          <w:sz w:val="21"/>
        </w:rPr>
        <w:t>家，覆盖主要业务条线</w:t>
      </w:r>
    </w:p>
    <w:p w14:paraId="750132D1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研究方法：定量统计与定性研判相结合，截面比较与时间序列追踪互为补充</w:t>
      </w:r>
    </w:p>
    <w:p w14:paraId="4A076773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核心结论速览</w:t>
      </w:r>
    </w:p>
    <w:p w14:paraId="1918736F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三季度行业原保险保费收入达</w:t>
      </w:r>
      <w:r>
        <w:rPr>
          <w:color w:val="F79646"/>
          <w:sz w:val="21"/>
        </w:rPr>
        <w:t>2.35</w:t>
      </w:r>
      <w:r>
        <w:rPr>
          <w:color w:val="F79646"/>
          <w:sz w:val="21"/>
        </w:rPr>
        <w:t>万亿元，同比扩张</w:t>
      </w:r>
      <w:r>
        <w:rPr>
          <w:color w:val="F79646"/>
          <w:sz w:val="21"/>
        </w:rPr>
        <w:t>7.2%</w:t>
      </w:r>
      <w:r>
        <w:rPr>
          <w:color w:val="F79646"/>
          <w:sz w:val="21"/>
        </w:rPr>
        <w:t>，景气度环比小幅改善</w:t>
      </w:r>
    </w:p>
    <w:p w14:paraId="5A1115D5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线上化进程明显提速，互联网渠道保费份额升至</w:t>
      </w:r>
      <w:r>
        <w:rPr>
          <w:color w:val="F79646"/>
          <w:sz w:val="21"/>
        </w:rPr>
        <w:t>22.5%</w:t>
      </w:r>
      <w:r>
        <w:rPr>
          <w:color w:val="F79646"/>
          <w:sz w:val="21"/>
        </w:rPr>
        <w:t>，较上季再增</w:t>
      </w:r>
      <w:r>
        <w:rPr>
          <w:color w:val="F79646"/>
          <w:sz w:val="21"/>
        </w:rPr>
        <w:t>2.5</w:t>
      </w:r>
      <w:r>
        <w:rPr>
          <w:color w:val="F79646"/>
          <w:sz w:val="21"/>
        </w:rPr>
        <w:t>个百分点</w:t>
      </w:r>
    </w:p>
    <w:p w14:paraId="5C7F622C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健康险继续保持双位数增长，同比</w:t>
      </w:r>
      <w:r>
        <w:rPr>
          <w:color w:val="F79646"/>
          <w:sz w:val="21"/>
        </w:rPr>
        <w:t>13.8%</w:t>
      </w:r>
      <w:r>
        <w:rPr>
          <w:color w:val="F79646"/>
          <w:sz w:val="21"/>
        </w:rPr>
        <w:t>的增速成为人身险板块首要拉动力</w:t>
      </w:r>
    </w:p>
    <w:p w14:paraId="1DE60B00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低利率环境下利差损防控压力未减，定价利率上限维持在</w:t>
      </w:r>
      <w:r>
        <w:rPr>
          <w:color w:val="F79646"/>
          <w:sz w:val="21"/>
        </w:rPr>
        <w:t>2.5%</w:t>
      </w:r>
    </w:p>
    <w:p w14:paraId="1D40D0C0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中小公司差异化竞争成效显现，在若干细分赛道份额稳步抬升</w:t>
      </w:r>
    </w:p>
    <w:p w14:paraId="5A950FBE" w14:textId="77777777" w:rsidR="0091080F" w:rsidRDefault="00892D7D">
      <w:pPr>
        <w:pStyle w:val="21"/>
        <w:spacing w:before="240" w:after="120"/>
      </w:pPr>
      <w:bookmarkStart w:id="1" w:name="_Toc236359174"/>
      <w:r>
        <w:rPr>
          <w:rFonts w:ascii="SimHei" w:eastAsia="SimHei" w:hAnsi="SimHei"/>
        </w:rPr>
        <w:t xml:space="preserve">2.1  </w:t>
      </w:r>
      <w:r>
        <w:rPr>
          <w:rFonts w:ascii="SimHei" w:eastAsia="SimHei" w:hAnsi="SimHei"/>
        </w:rPr>
        <w:t>经济政策环境</w:t>
      </w:r>
      <w:bookmarkEnd w:id="1"/>
    </w:p>
    <w:p w14:paraId="2389DC7E" w14:textId="77777777" w:rsidR="0091080F" w:rsidRDefault="00892D7D">
      <w:pPr>
        <w:spacing w:after="80" w:line="360" w:lineRule="auto"/>
        <w:ind w:firstLineChars="200" w:firstLine="560"/>
      </w:pPr>
      <w:r>
        <w:rPr>
          <w:color w:val="F79646"/>
        </w:rPr>
        <w:t>本节从宏观经济基本面与行业监管政策两条线索切入，剖析</w:t>
      </w:r>
      <w:r>
        <w:rPr>
          <w:color w:val="F79646"/>
        </w:rPr>
        <w:t>2026</w:t>
      </w:r>
      <w:r>
        <w:rPr>
          <w:color w:val="F79646"/>
        </w:rPr>
        <w:t>年第三季度影响保险业发展的外部条件。三季度经济延续温和</w:t>
      </w:r>
      <w:r>
        <w:rPr>
          <w:color w:val="F79646"/>
        </w:rPr>
        <w:lastRenderedPageBreak/>
        <w:t>修复，政策面积极信号密集释放，共同塑造了行业运行的制度与宏观背景。</w:t>
      </w:r>
    </w:p>
    <w:p w14:paraId="7ADC99E6" w14:textId="77777777" w:rsidR="0091080F" w:rsidRDefault="00892D7D">
      <w:pPr>
        <w:pStyle w:val="31"/>
        <w:spacing w:before="240" w:after="120"/>
      </w:pPr>
      <w:bookmarkStart w:id="2" w:name="_Toc236359175"/>
      <w:r>
        <w:rPr>
          <w:rFonts w:ascii="SimHei" w:eastAsia="SimHei" w:hAnsi="SimHei"/>
        </w:rPr>
        <w:t xml:space="preserve">2.1.1  </w:t>
      </w:r>
      <w:r>
        <w:rPr>
          <w:rFonts w:ascii="SimHei" w:eastAsia="SimHei" w:hAnsi="SimHei"/>
        </w:rPr>
        <w:t>宏观经济运行情况</w:t>
      </w:r>
      <w:bookmarkEnd w:id="2"/>
    </w:p>
    <w:p w14:paraId="7C08FB5F" w14:textId="77777777" w:rsidR="0091080F" w:rsidRDefault="00892D7D">
      <w:pPr>
        <w:spacing w:after="80" w:line="360" w:lineRule="auto"/>
        <w:ind w:firstLineChars="200" w:firstLine="560"/>
      </w:pPr>
      <w:r>
        <w:rPr>
          <w:color w:val="F79646"/>
        </w:rPr>
        <w:t>2026</w:t>
      </w:r>
      <w:r>
        <w:rPr>
          <w:color w:val="F79646"/>
        </w:rPr>
        <w:t>年第三季度，国民经济保持平稳恢复节奏。据国家统计局公布，三季度</w:t>
      </w:r>
      <w:r>
        <w:rPr>
          <w:color w:val="F79646"/>
        </w:rPr>
        <w:t>GDP</w:t>
      </w:r>
      <w:r>
        <w:rPr>
          <w:color w:val="F79646"/>
        </w:rPr>
        <w:t>同比增速</w:t>
      </w:r>
      <w:r>
        <w:rPr>
          <w:color w:val="F79646"/>
        </w:rPr>
        <w:t>4.9%</w:t>
      </w:r>
      <w:r>
        <w:rPr>
          <w:color w:val="F79646"/>
        </w:rPr>
        <w:t>，环比扩张</w:t>
      </w:r>
      <w:r>
        <w:rPr>
          <w:color w:val="F79646"/>
        </w:rPr>
        <w:t>1.1%</w:t>
      </w:r>
      <w:r>
        <w:rPr>
          <w:color w:val="F79646"/>
        </w:rPr>
        <w:t>，整体运行于合理区间，内生增长动能逐步蓄积。</w:t>
      </w:r>
    </w:p>
    <w:p w14:paraId="7FA05E39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三驾马车表现</w:t>
      </w:r>
    </w:p>
    <w:p w14:paraId="464BB481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消费：社会消费品零售总额同比扩张</w:t>
      </w:r>
      <w:r>
        <w:rPr>
          <w:color w:val="F79646"/>
          <w:sz w:val="21"/>
        </w:rPr>
        <w:t>4.5%</w:t>
      </w:r>
      <w:r>
        <w:rPr>
          <w:color w:val="F79646"/>
          <w:sz w:val="21"/>
        </w:rPr>
        <w:t>，服务类消费回暖势头延续</w:t>
      </w:r>
    </w:p>
    <w:p w14:paraId="6158A62F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投资：固定资产投资同比扩张</w:t>
      </w:r>
      <w:r>
        <w:rPr>
          <w:color w:val="F79646"/>
          <w:sz w:val="21"/>
        </w:rPr>
        <w:t>5.1%</w:t>
      </w:r>
      <w:r>
        <w:rPr>
          <w:color w:val="F79646"/>
          <w:sz w:val="21"/>
        </w:rPr>
        <w:t>，高技术制造业投资增速居前</w:t>
      </w:r>
    </w:p>
    <w:p w14:paraId="20EC3371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外贸：货物出口同比扩张</w:t>
      </w:r>
      <w:r>
        <w:rPr>
          <w:color w:val="F79646"/>
          <w:sz w:val="21"/>
        </w:rPr>
        <w:t>4.2%</w:t>
      </w:r>
      <w:r>
        <w:rPr>
          <w:color w:val="F79646"/>
          <w:sz w:val="21"/>
        </w:rPr>
        <w:t>，对新兴市场出口表现亮眼</w:t>
      </w:r>
    </w:p>
    <w:p w14:paraId="207E2BC7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价格运行</w:t>
      </w:r>
    </w:p>
    <w:p w14:paraId="23622DD6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CPI</w:t>
      </w:r>
      <w:r>
        <w:rPr>
          <w:color w:val="F79646"/>
          <w:sz w:val="21"/>
        </w:rPr>
        <w:t>同比上涨</w:t>
      </w:r>
      <w:r>
        <w:rPr>
          <w:color w:val="F79646"/>
          <w:sz w:val="21"/>
        </w:rPr>
        <w:t>1.1%</w:t>
      </w:r>
      <w:r>
        <w:rPr>
          <w:color w:val="F79646"/>
          <w:sz w:val="21"/>
        </w:rPr>
        <w:t>，物价中枢温和抬升</w:t>
      </w:r>
    </w:p>
    <w:p w14:paraId="08853B98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PPI</w:t>
      </w:r>
      <w:r>
        <w:rPr>
          <w:color w:val="F79646"/>
          <w:sz w:val="21"/>
        </w:rPr>
        <w:t>同比微降</w:t>
      </w:r>
      <w:r>
        <w:rPr>
          <w:color w:val="F79646"/>
          <w:sz w:val="21"/>
        </w:rPr>
        <w:t>0.1%</w:t>
      </w:r>
      <w:r>
        <w:rPr>
          <w:color w:val="F79646"/>
          <w:sz w:val="21"/>
        </w:rPr>
        <w:t>，工业品价格通缩压力明显缓解</w:t>
      </w:r>
    </w:p>
    <w:p w14:paraId="7A4BE951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核心</w:t>
      </w:r>
      <w:r>
        <w:rPr>
          <w:color w:val="F79646"/>
          <w:sz w:val="21"/>
        </w:rPr>
        <w:t>CPI</w:t>
      </w:r>
      <w:r>
        <w:rPr>
          <w:color w:val="F79646"/>
          <w:sz w:val="21"/>
        </w:rPr>
        <w:t>同比上涨</w:t>
      </w:r>
      <w:r>
        <w:rPr>
          <w:color w:val="F79646"/>
          <w:sz w:val="21"/>
        </w:rPr>
        <w:t>0.9%</w:t>
      </w:r>
      <w:r>
        <w:rPr>
          <w:color w:val="F79646"/>
          <w:sz w:val="21"/>
        </w:rPr>
        <w:t>，终端需求复苏节奏趋于平稳</w:t>
      </w:r>
    </w:p>
    <w:p w14:paraId="4D42C3FB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劳动力市场</w:t>
      </w:r>
    </w:p>
    <w:p w14:paraId="15656242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城镇调查失业率均值</w:t>
      </w:r>
      <w:r>
        <w:rPr>
          <w:color w:val="F79646"/>
          <w:sz w:val="21"/>
        </w:rPr>
        <w:t>5.0%</w:t>
      </w:r>
      <w:r>
        <w:rPr>
          <w:color w:val="F79646"/>
          <w:sz w:val="21"/>
        </w:rPr>
        <w:t>，较二季度回落</w:t>
      </w:r>
      <w:r>
        <w:rPr>
          <w:color w:val="F79646"/>
          <w:sz w:val="21"/>
        </w:rPr>
        <w:t>0.1</w:t>
      </w:r>
      <w:r>
        <w:rPr>
          <w:color w:val="F79646"/>
          <w:sz w:val="21"/>
        </w:rPr>
        <w:t>个百分点</w:t>
      </w:r>
    </w:p>
    <w:p w14:paraId="6D772AEE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新经济新业态吸纳就业作用增强，灵活就业群体规模稳步扩张</w:t>
      </w:r>
    </w:p>
    <w:p w14:paraId="0FB6EC11" w14:textId="77777777" w:rsidR="0091080F" w:rsidRDefault="00892D7D">
      <w:pPr>
        <w:spacing w:after="80" w:line="360" w:lineRule="auto"/>
        <w:ind w:firstLineChars="200" w:firstLine="560"/>
      </w:pPr>
      <w:r>
        <w:rPr>
          <w:color w:val="F79646"/>
        </w:rPr>
        <w:t>整体来看，宏观经济的温和修复为保险消费奠定了基础，居民收入预期改善持续释放保险需求，三季度保险消费信心指数环比上扬</w:t>
      </w:r>
      <w:r>
        <w:rPr>
          <w:color w:val="F79646"/>
        </w:rPr>
        <w:t>2.3</w:t>
      </w:r>
      <w:r>
        <w:rPr>
          <w:color w:val="F79646"/>
        </w:rPr>
        <w:t>个点。</w:t>
      </w:r>
    </w:p>
    <w:p w14:paraId="778B0889" w14:textId="77777777" w:rsidR="0091080F" w:rsidRDefault="00892D7D">
      <w:pPr>
        <w:pStyle w:val="31"/>
        <w:spacing w:before="240" w:after="120"/>
      </w:pPr>
      <w:bookmarkStart w:id="3" w:name="_Toc236359176"/>
      <w:r>
        <w:rPr>
          <w:rFonts w:ascii="SimHei" w:eastAsia="SimHei" w:hAnsi="SimHei"/>
        </w:rPr>
        <w:t xml:space="preserve">2.1.2  </w:t>
      </w:r>
      <w:r>
        <w:rPr>
          <w:rFonts w:ascii="SimHei" w:eastAsia="SimHei" w:hAnsi="SimHei"/>
        </w:rPr>
        <w:t>保险行业政策动态</w:t>
      </w:r>
      <w:bookmarkEnd w:id="3"/>
    </w:p>
    <w:p w14:paraId="2BD37119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2026</w:t>
      </w:r>
      <w:r>
        <w:rPr>
          <w:color w:val="000000"/>
        </w:rPr>
        <w:t>年第三季度，监管部门以防风险、促转型、优服务为工作主线，密集推动多项政策落地，对行业生态产生深远影响。</w:t>
      </w:r>
    </w:p>
    <w:p w14:paraId="69A69356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监管举措</w:t>
      </w:r>
    </w:p>
    <w:p w14:paraId="366F407B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lastRenderedPageBreak/>
        <w:t>金融监管总局印发《关于推进保险业高质量发展的指导意见》，明确数字化转型路线图</w:t>
      </w:r>
    </w:p>
    <w:p w14:paraId="65097A49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《保险资金运用管理办法》补充规定落地，权益类资产配置比例上限进一步放宽</w:t>
      </w:r>
    </w:p>
    <w:p w14:paraId="37A526ED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个人养老金制度全国推广进入深化阶段，税收优惠力度加码</w:t>
      </w:r>
    </w:p>
    <w:p w14:paraId="55D314DC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行业规则升级</w:t>
      </w:r>
    </w:p>
    <w:p w14:paraId="1DD40FB2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车险综改持续深化，新能源车险专属条款完成修订</w:t>
      </w:r>
    </w:p>
    <w:p w14:paraId="6B6AD5FC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健康险产品设计指引更新，长期医疗险费率调整机制走向规范化</w:t>
      </w:r>
    </w:p>
    <w:p w14:paraId="7CA018D5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互联网保险销售行为可回溯管理要求全面执行</w:t>
      </w:r>
    </w:p>
    <w:p w14:paraId="24E59FFD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政策体系的持续完善为行业高质量发展夯实了制度基础，同时也对险企的合规经营与精细化管理能力提出了更高门槛。</w:t>
      </w:r>
    </w:p>
    <w:p w14:paraId="18376316" w14:textId="77777777" w:rsidR="0091080F" w:rsidRDefault="00892D7D">
      <w:pPr>
        <w:pStyle w:val="21"/>
        <w:spacing w:before="240" w:after="120"/>
      </w:pPr>
      <w:bookmarkStart w:id="4" w:name="_Toc236359177"/>
      <w:r>
        <w:rPr>
          <w:rFonts w:ascii="SimHei" w:eastAsia="SimHei" w:hAnsi="SimHei"/>
        </w:rPr>
        <w:t xml:space="preserve">2.2  </w:t>
      </w:r>
      <w:r>
        <w:rPr>
          <w:rFonts w:ascii="SimHei" w:eastAsia="SimHei" w:hAnsi="SimHei"/>
        </w:rPr>
        <w:t>利率与资金面</w:t>
      </w:r>
      <w:bookmarkEnd w:id="4"/>
    </w:p>
    <w:p w14:paraId="1FE102FC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利率水平是决定保险业经营表现的关键变量。本季度利率曲线呈现「低位震荡、边际企稳」特征，对险企资产配置与负债端定价持续形成深刻影响。</w:t>
      </w:r>
    </w:p>
    <w:p w14:paraId="163C35AC" w14:textId="77777777" w:rsidR="0091080F" w:rsidRDefault="00892D7D">
      <w:pPr>
        <w:pStyle w:val="31"/>
        <w:spacing w:before="240" w:after="120"/>
      </w:pPr>
      <w:bookmarkStart w:id="5" w:name="_Toc236359178"/>
      <w:r>
        <w:rPr>
          <w:rFonts w:ascii="SimHei" w:eastAsia="SimHei" w:hAnsi="SimHei"/>
        </w:rPr>
        <w:t xml:space="preserve">2.2.1  </w:t>
      </w:r>
      <w:r>
        <w:rPr>
          <w:rFonts w:ascii="SimHei" w:eastAsia="SimHei" w:hAnsi="SimHei"/>
        </w:rPr>
        <w:t>利率走势分析</w:t>
      </w:r>
      <w:bookmarkEnd w:id="5"/>
    </w:p>
    <w:p w14:paraId="1EE3BCD6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市场利率全景</w:t>
      </w:r>
    </w:p>
    <w:p w14:paraId="21D01DCF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1</w:t>
      </w:r>
      <w:r>
        <w:rPr>
          <w:rFonts w:ascii="STZhongsong" w:eastAsia="STZhongsong" w:hAnsi="STZhongsong"/>
          <w:color w:val="000000"/>
          <w:sz w:val="21"/>
        </w:rPr>
        <w:t>年期</w:t>
      </w:r>
      <w:r>
        <w:rPr>
          <w:rFonts w:ascii="STZhongsong" w:eastAsia="STZhongsong" w:hAnsi="STZhongsong"/>
          <w:color w:val="000000"/>
          <w:sz w:val="21"/>
        </w:rPr>
        <w:t>LPR</w:t>
      </w:r>
      <w:r>
        <w:rPr>
          <w:rFonts w:ascii="STZhongsong" w:eastAsia="STZhongsong" w:hAnsi="STZhongsong"/>
          <w:color w:val="000000"/>
          <w:sz w:val="21"/>
        </w:rPr>
        <w:t>持平于</w:t>
      </w:r>
      <w:r>
        <w:rPr>
          <w:rFonts w:ascii="STZhongsong" w:eastAsia="STZhongsong" w:hAnsi="STZhongsong"/>
          <w:color w:val="000000"/>
          <w:sz w:val="21"/>
        </w:rPr>
        <w:t>3.10%</w:t>
      </w:r>
      <w:r>
        <w:rPr>
          <w:rFonts w:ascii="STZhongsong" w:eastAsia="STZhongsong" w:hAnsi="STZhongsong"/>
          <w:color w:val="000000"/>
          <w:sz w:val="21"/>
        </w:rPr>
        <w:t>，</w:t>
      </w:r>
      <w:r>
        <w:rPr>
          <w:rFonts w:ascii="STZhongsong" w:eastAsia="STZhongsong" w:hAnsi="STZhongsong"/>
          <w:color w:val="000000"/>
          <w:sz w:val="21"/>
        </w:rPr>
        <w:t>5</w:t>
      </w:r>
      <w:r>
        <w:rPr>
          <w:rFonts w:ascii="STZhongsong" w:eastAsia="STZhongsong" w:hAnsi="STZhongsong"/>
          <w:color w:val="000000"/>
          <w:sz w:val="21"/>
        </w:rPr>
        <w:t>年期以上</w:t>
      </w:r>
      <w:r>
        <w:rPr>
          <w:rFonts w:ascii="STZhongsong" w:eastAsia="STZhongsong" w:hAnsi="STZhongsong"/>
          <w:color w:val="000000"/>
          <w:sz w:val="21"/>
        </w:rPr>
        <w:t>LPR</w:t>
      </w:r>
      <w:r>
        <w:rPr>
          <w:rFonts w:ascii="STZhongsong" w:eastAsia="STZhongsong" w:hAnsi="STZhongsong"/>
          <w:color w:val="000000"/>
          <w:sz w:val="21"/>
        </w:rPr>
        <w:t>下调至</w:t>
      </w:r>
      <w:r>
        <w:rPr>
          <w:rFonts w:ascii="STZhongsong" w:eastAsia="STZhongsong" w:hAnsi="STZhongsong"/>
          <w:color w:val="000000"/>
          <w:sz w:val="21"/>
        </w:rPr>
        <w:t>3.55%</w:t>
      </w:r>
      <w:r>
        <w:rPr>
          <w:rFonts w:ascii="STZhongsong" w:eastAsia="STZhongsong" w:hAnsi="STZhongsong"/>
          <w:color w:val="000000"/>
          <w:sz w:val="21"/>
        </w:rPr>
        <w:t>，较二季度下降</w:t>
      </w:r>
      <w:r>
        <w:rPr>
          <w:rFonts w:ascii="STZhongsong" w:eastAsia="STZhongsong" w:hAnsi="STZhongsong"/>
          <w:color w:val="000000"/>
          <w:sz w:val="21"/>
        </w:rPr>
        <w:t>5</w:t>
      </w:r>
      <w:r>
        <w:rPr>
          <w:rFonts w:ascii="STZhongsong" w:eastAsia="STZhongsong" w:hAnsi="STZhongsong"/>
          <w:color w:val="000000"/>
          <w:sz w:val="21"/>
        </w:rPr>
        <w:t>个基点</w:t>
      </w:r>
    </w:p>
    <w:p w14:paraId="48144D4A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10</w:t>
      </w:r>
      <w:r>
        <w:rPr>
          <w:rFonts w:ascii="STZhongsong" w:eastAsia="STZhongsong" w:hAnsi="STZhongsong"/>
          <w:color w:val="000000"/>
          <w:sz w:val="21"/>
        </w:rPr>
        <w:t>年期国债收益率于</w:t>
      </w:r>
      <w:r>
        <w:rPr>
          <w:rFonts w:ascii="STZhongsong" w:eastAsia="STZhongsong" w:hAnsi="STZhongsong"/>
          <w:color w:val="000000"/>
          <w:sz w:val="21"/>
        </w:rPr>
        <w:t>2.30%-2.45%</w:t>
      </w:r>
      <w:r>
        <w:rPr>
          <w:rFonts w:ascii="STZhongsong" w:eastAsia="STZhongsong" w:hAnsi="STZhongsong"/>
          <w:color w:val="000000"/>
          <w:sz w:val="21"/>
        </w:rPr>
        <w:t>区间窄幅波动，均值与二季度大致持平</w:t>
      </w:r>
    </w:p>
    <w:p w14:paraId="4DE5E779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货币市场利率中枢略有抬升，</w:t>
      </w:r>
      <w:r>
        <w:rPr>
          <w:rFonts w:ascii="STZhongsong" w:eastAsia="STZhongsong" w:hAnsi="STZhongsong"/>
          <w:color w:val="000000"/>
          <w:sz w:val="21"/>
        </w:rPr>
        <w:t>DR007</w:t>
      </w:r>
      <w:r>
        <w:rPr>
          <w:rFonts w:ascii="STZhongsong" w:eastAsia="STZhongsong" w:hAnsi="STZhongsong"/>
          <w:color w:val="000000"/>
          <w:sz w:val="21"/>
        </w:rPr>
        <w:t>均值约</w:t>
      </w:r>
      <w:r>
        <w:rPr>
          <w:rFonts w:ascii="STZhongsong" w:eastAsia="STZhongsong" w:hAnsi="STZhongsong"/>
          <w:color w:val="000000"/>
          <w:sz w:val="21"/>
        </w:rPr>
        <w:t>1.90%</w:t>
      </w:r>
    </w:p>
    <w:p w14:paraId="07EDF3C3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对保险业传导效应</w:t>
      </w:r>
    </w:p>
    <w:p w14:paraId="4EAD3B68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新单定价：监管维持传统寿险定价利率上限</w:t>
      </w:r>
      <w:r>
        <w:rPr>
          <w:rFonts w:ascii="STZhongsong" w:eastAsia="STZhongsong" w:hAnsi="STZhongsong"/>
          <w:color w:val="000000"/>
          <w:sz w:val="21"/>
        </w:rPr>
        <w:t>2.5%</w:t>
      </w:r>
      <w:r>
        <w:rPr>
          <w:rFonts w:ascii="STZhongsong" w:eastAsia="STZhongsong" w:hAnsi="STZhongsong"/>
          <w:color w:val="000000"/>
          <w:sz w:val="21"/>
        </w:rPr>
        <w:t>，分红险与万能险相对吸引力进一步增强</w:t>
      </w:r>
    </w:p>
    <w:p w14:paraId="66CCEE21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存量业务：高利率存量保单利差损风险仍需警惕，部分公司主动优化产品结构以缓解压力</w:t>
      </w:r>
    </w:p>
    <w:p w14:paraId="5ED850A9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资产配置：险企加大长久期利率债与高股息权益资产配置，改善资产负债匹配</w:t>
      </w:r>
    </w:p>
    <w:p w14:paraId="2B9B5A15" w14:textId="77777777" w:rsidR="0091080F" w:rsidRDefault="00892D7D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lastRenderedPageBreak/>
        <w:t>在利率长期低位运行的背景下，险企资产负债匹配管理挑战依旧，同时也驱动产品形态向分红型、保障型方向加速调整。</w:t>
      </w:r>
    </w:p>
    <w:p w14:paraId="01DBA6AF" w14:textId="77777777" w:rsidR="0091080F" w:rsidRDefault="00892D7D">
      <w:pPr>
        <w:pStyle w:val="21"/>
        <w:spacing w:before="240" w:after="120"/>
      </w:pPr>
      <w:bookmarkStart w:id="6" w:name="_Toc236359179"/>
      <w:r>
        <w:rPr>
          <w:rFonts w:ascii="SimHei" w:eastAsia="SimHei" w:hAnsi="SimHei"/>
        </w:rPr>
        <w:t xml:space="preserve">2.3  </w:t>
      </w:r>
      <w:r>
        <w:rPr>
          <w:rFonts w:ascii="SimHei" w:eastAsia="SimHei" w:hAnsi="SimHei"/>
        </w:rPr>
        <w:t>区域市场发展</w:t>
      </w:r>
      <w:bookmarkEnd w:id="6"/>
    </w:p>
    <w:p w14:paraId="62962CE3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区域发展不均衡是中国保险市场的一项长期特征。本季度数据显示，各区域保费增长延续分化格局，中西部增速继续领跑，区域协调发展成效逐步显现。</w:t>
      </w:r>
    </w:p>
    <w:p w14:paraId="3644EBD7" w14:textId="77777777" w:rsidR="0091080F" w:rsidRDefault="00892D7D">
      <w:pPr>
        <w:pStyle w:val="31"/>
        <w:spacing w:before="240" w:after="120"/>
      </w:pPr>
      <w:bookmarkStart w:id="7" w:name="_Toc236359180"/>
      <w:r>
        <w:rPr>
          <w:rFonts w:ascii="SimHei" w:eastAsia="SimHei" w:hAnsi="SimHei"/>
        </w:rPr>
        <w:t xml:space="preserve">2.3.1  </w:t>
      </w:r>
      <w:r>
        <w:rPr>
          <w:rFonts w:ascii="SimHei" w:eastAsia="SimHei" w:hAnsi="SimHei"/>
        </w:rPr>
        <w:t>区域保费分布特征</w:t>
      </w:r>
      <w:bookmarkEnd w:id="7"/>
    </w:p>
    <w:p w14:paraId="0D186CC0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区域分化图谱</w:t>
      </w:r>
    </w:p>
    <w:p w14:paraId="7D10CCD3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东部沿海地区保费份额降至</w:t>
      </w:r>
      <w:r>
        <w:rPr>
          <w:color w:val="000000"/>
          <w:sz w:val="21"/>
        </w:rPr>
        <w:t>57.5%</w:t>
      </w:r>
      <w:r>
        <w:rPr>
          <w:color w:val="000000"/>
          <w:sz w:val="21"/>
        </w:rPr>
        <w:t>，较二季度收窄</w:t>
      </w:r>
      <w:r>
        <w:rPr>
          <w:color w:val="000000"/>
          <w:sz w:val="21"/>
        </w:rPr>
        <w:t>0.8</w:t>
      </w:r>
      <w:r>
        <w:rPr>
          <w:color w:val="000000"/>
          <w:sz w:val="21"/>
        </w:rPr>
        <w:t>个百分点，增速放缓至</w:t>
      </w:r>
      <w:r>
        <w:rPr>
          <w:color w:val="000000"/>
          <w:sz w:val="21"/>
        </w:rPr>
        <w:t>4.8%</w:t>
      </w:r>
    </w:p>
    <w:p w14:paraId="088EBB02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中部地区保费增速领跑全国，同比扩张</w:t>
      </w:r>
      <w:r>
        <w:rPr>
          <w:color w:val="000000"/>
          <w:sz w:val="21"/>
        </w:rPr>
        <w:t>8.5%</w:t>
      </w:r>
      <w:r>
        <w:rPr>
          <w:color w:val="000000"/>
          <w:sz w:val="21"/>
        </w:rPr>
        <w:t>，份额提升至</w:t>
      </w:r>
      <w:r>
        <w:rPr>
          <w:color w:val="000000"/>
          <w:sz w:val="21"/>
        </w:rPr>
        <w:t>22.8%</w:t>
      </w:r>
    </w:p>
    <w:p w14:paraId="66A8F50B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西部地区维持稳健增长，同比扩张</w:t>
      </w:r>
      <w:r>
        <w:rPr>
          <w:color w:val="000000"/>
          <w:sz w:val="21"/>
        </w:rPr>
        <w:t>7.6%</w:t>
      </w:r>
      <w:r>
        <w:rPr>
          <w:color w:val="000000"/>
          <w:sz w:val="21"/>
        </w:rPr>
        <w:t>，政策性农险贡献突出</w:t>
      </w:r>
    </w:p>
    <w:p w14:paraId="7ACDA579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城乡结构差异</w:t>
      </w:r>
    </w:p>
    <w:p w14:paraId="3E52042D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一线城市人均保费支出达</w:t>
      </w:r>
      <w:r>
        <w:rPr>
          <w:color w:val="000000"/>
          <w:sz w:val="21"/>
        </w:rPr>
        <w:t>6,500</w:t>
      </w:r>
      <w:r>
        <w:rPr>
          <w:color w:val="000000"/>
          <w:sz w:val="21"/>
        </w:rPr>
        <w:t>元，保险密度显著高于全国均值</w:t>
      </w:r>
    </w:p>
    <w:p w14:paraId="6B76F781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县域及农村市场渗透率升至</w:t>
      </w:r>
      <w:r>
        <w:rPr>
          <w:color w:val="000000"/>
          <w:sz w:val="21"/>
        </w:rPr>
        <w:t>16.8%</w:t>
      </w:r>
      <w:r>
        <w:rPr>
          <w:color w:val="000000"/>
          <w:sz w:val="21"/>
        </w:rPr>
        <w:t>，增速达</w:t>
      </w:r>
      <w:r>
        <w:rPr>
          <w:color w:val="000000"/>
          <w:sz w:val="21"/>
        </w:rPr>
        <w:t>11.2%</w:t>
      </w:r>
      <w:r>
        <w:rPr>
          <w:color w:val="000000"/>
          <w:sz w:val="21"/>
        </w:rPr>
        <w:t>，下沉潜力持续释放</w:t>
      </w:r>
    </w:p>
    <w:p w14:paraId="4E0202C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县域专属产品供给增加，普惠型保险覆盖面进一步拓宽</w:t>
      </w:r>
    </w:p>
    <w:p w14:paraId="3E3264E3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区域市场的差异化特征要求险企采取分层策略：在发达地区聚焦产品创新与服务升级，在欠发达地区着力渠道下沉与普惠保险推广。</w:t>
      </w:r>
    </w:p>
    <w:p w14:paraId="2E554051" w14:textId="77777777" w:rsidR="0091080F" w:rsidRDefault="00892D7D">
      <w:pPr>
        <w:pStyle w:val="21"/>
        <w:spacing w:before="240" w:after="120"/>
      </w:pPr>
      <w:bookmarkStart w:id="8" w:name="_Toc236359181"/>
      <w:r>
        <w:rPr>
          <w:rFonts w:ascii="SimHei" w:eastAsia="SimHei" w:hAnsi="SimHei"/>
        </w:rPr>
        <w:t xml:space="preserve">3.1  </w:t>
      </w:r>
      <w:r>
        <w:rPr>
          <w:rFonts w:ascii="SimHei" w:eastAsia="SimHei" w:hAnsi="SimHei"/>
        </w:rPr>
        <w:t>整体保费规模</w:t>
      </w:r>
      <w:bookmarkEnd w:id="8"/>
    </w:p>
    <w:p w14:paraId="179133D4" w14:textId="77777777" w:rsidR="0091080F" w:rsidRDefault="00892D7D">
      <w:pPr>
        <w:spacing w:after="80" w:line="360" w:lineRule="auto"/>
        <w:ind w:firstLineChars="200" w:firstLine="560"/>
      </w:pPr>
      <w:r>
        <w:rPr>
          <w:color w:val="F79646"/>
        </w:rPr>
        <w:t>2026</w:t>
      </w:r>
      <w:r>
        <w:rPr>
          <w:color w:val="F79646"/>
        </w:rPr>
        <w:t>年第三季度，行业保费收入延续稳健扩张，增速较二季度小幅回升。全行业原保险保费收入达</w:t>
      </w:r>
      <w:r>
        <w:rPr>
          <w:color w:val="F79646"/>
        </w:rPr>
        <w:t>2.35</w:t>
      </w:r>
      <w:r>
        <w:rPr>
          <w:color w:val="F79646"/>
        </w:rPr>
        <w:t>万亿元，同比增长</w:t>
      </w:r>
      <w:r>
        <w:rPr>
          <w:color w:val="F79646"/>
        </w:rPr>
        <w:t>7.2%</w:t>
      </w:r>
      <w:r>
        <w:rPr>
          <w:color w:val="F79646"/>
        </w:rPr>
        <w:t>，环比增长</w:t>
      </w:r>
      <w:r>
        <w:rPr>
          <w:color w:val="F79646"/>
        </w:rPr>
        <w:t>7.8%</w:t>
      </w:r>
      <w:r>
        <w:rPr>
          <w:color w:val="F79646"/>
        </w:rPr>
        <w:t>。</w:t>
      </w:r>
    </w:p>
    <w:p w14:paraId="387DFBAC" w14:textId="77777777" w:rsidR="0091080F" w:rsidRDefault="00892D7D">
      <w:pPr>
        <w:pStyle w:val="31"/>
        <w:spacing w:before="240" w:after="120"/>
      </w:pPr>
      <w:bookmarkStart w:id="9" w:name="_Toc236359182"/>
      <w:r>
        <w:rPr>
          <w:rFonts w:ascii="SimHei" w:eastAsia="SimHei" w:hAnsi="SimHei"/>
        </w:rPr>
        <w:lastRenderedPageBreak/>
        <w:t xml:space="preserve">3.1.1  </w:t>
      </w:r>
      <w:r>
        <w:rPr>
          <w:rFonts w:ascii="SimHei" w:eastAsia="SimHei" w:hAnsi="SimHei"/>
        </w:rPr>
        <w:t>原保险保费收入</w:t>
      </w:r>
      <w:bookmarkEnd w:id="9"/>
    </w:p>
    <w:p w14:paraId="542CBD0A" w14:textId="77777777" w:rsidR="0091080F" w:rsidRDefault="00892D7D">
      <w:pPr>
        <w:spacing w:after="80" w:line="360" w:lineRule="auto"/>
        <w:ind w:firstLineChars="200" w:firstLine="560"/>
      </w:pPr>
      <w:r>
        <w:rPr>
          <w:color w:val="F79646"/>
        </w:rPr>
        <w:t>三季度，全行业实现原保险保费收入</w:t>
      </w:r>
      <w:r>
        <w:rPr>
          <w:color w:val="F79646"/>
        </w:rPr>
        <w:t>2.35</w:t>
      </w:r>
      <w:r>
        <w:rPr>
          <w:color w:val="F79646"/>
        </w:rPr>
        <w:t>万亿元，同比增长</w:t>
      </w:r>
      <w:r>
        <w:rPr>
          <w:color w:val="F79646"/>
        </w:rPr>
        <w:t>7.2%</w:t>
      </w:r>
      <w:r>
        <w:rPr>
          <w:color w:val="F79646"/>
        </w:rPr>
        <w:t>。其中，人身险公司贡献</w:t>
      </w:r>
      <w:r>
        <w:rPr>
          <w:color w:val="F79646"/>
        </w:rPr>
        <w:t>1.82</w:t>
      </w:r>
      <w:r>
        <w:rPr>
          <w:color w:val="F79646"/>
        </w:rPr>
        <w:t>万亿元，同比增长</w:t>
      </w:r>
      <w:r>
        <w:rPr>
          <w:color w:val="F79646"/>
        </w:rPr>
        <w:t>7.6%</w:t>
      </w:r>
      <w:r>
        <w:rPr>
          <w:color w:val="F79646"/>
        </w:rPr>
        <w:t>；财产险公司贡献</w:t>
      </w:r>
      <w:r>
        <w:rPr>
          <w:color w:val="F79646"/>
        </w:rPr>
        <w:t>5,350</w:t>
      </w:r>
      <w:r>
        <w:rPr>
          <w:color w:val="F79646"/>
        </w:rPr>
        <w:t>亿元，同比增长</w:t>
      </w:r>
      <w:r>
        <w:rPr>
          <w:color w:val="F79646"/>
        </w:rPr>
        <w:t>6.0%</w:t>
      </w:r>
      <w:r>
        <w:rPr>
          <w:color w:val="F79646"/>
        </w:rPr>
        <w:t>。</w:t>
      </w:r>
    </w:p>
    <w:p w14:paraId="535D1461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月度节奏</w:t>
      </w:r>
    </w:p>
    <w:p w14:paraId="34E3AEB9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7</w:t>
      </w:r>
      <w:r>
        <w:rPr>
          <w:color w:val="F79646"/>
          <w:sz w:val="21"/>
        </w:rPr>
        <w:t>月保费收入</w:t>
      </w:r>
      <w:r>
        <w:rPr>
          <w:color w:val="F79646"/>
          <w:sz w:val="21"/>
        </w:rPr>
        <w:t>7,600</w:t>
      </w:r>
      <w:r>
        <w:rPr>
          <w:color w:val="F79646"/>
          <w:sz w:val="21"/>
        </w:rPr>
        <w:t>亿元，季度初平稳起步，环比扩张</w:t>
      </w:r>
      <w:r>
        <w:rPr>
          <w:color w:val="F79646"/>
          <w:sz w:val="21"/>
        </w:rPr>
        <w:t>2.6%</w:t>
      </w:r>
    </w:p>
    <w:p w14:paraId="1DB2AEC0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8</w:t>
      </w:r>
      <w:r>
        <w:rPr>
          <w:color w:val="F79646"/>
          <w:sz w:val="21"/>
        </w:rPr>
        <w:t>月保费收入</w:t>
      </w:r>
      <w:r>
        <w:rPr>
          <w:color w:val="F79646"/>
          <w:sz w:val="21"/>
        </w:rPr>
        <w:t>7,900</w:t>
      </w:r>
      <w:r>
        <w:rPr>
          <w:color w:val="F79646"/>
          <w:sz w:val="21"/>
        </w:rPr>
        <w:t>亿元，健康险与养老险构成主要增量</w:t>
      </w:r>
    </w:p>
    <w:p w14:paraId="6AE6B06C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9</w:t>
      </w:r>
      <w:r>
        <w:rPr>
          <w:color w:val="F79646"/>
          <w:sz w:val="21"/>
        </w:rPr>
        <w:t>月保费收入</w:t>
      </w:r>
      <w:r>
        <w:rPr>
          <w:color w:val="F79646"/>
          <w:sz w:val="21"/>
        </w:rPr>
        <w:t>8,000</w:t>
      </w:r>
      <w:r>
        <w:rPr>
          <w:color w:val="F79646"/>
          <w:sz w:val="21"/>
        </w:rPr>
        <w:t>亿元，季末冲量效应显现，银保渠道集中发力</w:t>
      </w:r>
    </w:p>
    <w:p w14:paraId="2F0B13AD" w14:textId="77777777" w:rsidR="00892D7D" w:rsidRPr="004555A0" w:rsidRDefault="00892D7D">
      <w:pPr>
        <w:jc w:val="center"/>
        <w:rPr>
          <w:color w:val="F79646" w:themeColor="accent6"/>
        </w:rPr>
      </w:pPr>
      <w:r w:rsidRPr="004555A0">
        <w:rPr>
          <w:noProof/>
          <w:color w:val="F79646" w:themeColor="accent6"/>
        </w:rPr>
        <w:drawing>
          <wp:inline distT="0" distB="0" distL="0" distR="0" wp14:anchorId="2195CECA" wp14:editId="0B2AEA70">
            <wp:extent cx="4754880" cy="264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保费收入趋势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91D0" w14:textId="24D06435" w:rsidR="0091080F" w:rsidRDefault="00892D7D">
      <w:pPr>
        <w:spacing w:before="120" w:after="120" w:line="240" w:lineRule="auto"/>
        <w:jc w:val="center"/>
      </w:pPr>
      <w:r>
        <w:rPr>
          <w:sz w:val="20"/>
        </w:rPr>
        <w:t>图</w:t>
      </w:r>
      <w:r>
        <w:rPr>
          <w:sz w:val="20"/>
        </w:rPr>
        <w:t xml:space="preserve"> </w:t>
      </w:r>
      <w:bookmarkStart w:id="10" w:name="_Ref_图_1"/>
      <w:r>
        <w:fldChar w:fldCharType="begin"/>
      </w:r>
      <w:r>
        <w:instrText>SEQ Figure \* ARABIC</w:instrText>
      </w:r>
      <w:r>
        <w:fldChar w:fldCharType="separate"/>
      </w:r>
      <w:r w:rsidR="004A38C7">
        <w:rPr>
          <w:noProof/>
        </w:rPr>
        <w:t>1</w:t>
      </w:r>
      <w:r>
        <w:rPr>
          <w:sz w:val="20"/>
          <w:szCs w:val="20"/>
        </w:rPr>
        <w:fldChar w:fldCharType="end"/>
      </w:r>
      <w:bookmarkEnd w:id="10"/>
      <w:r>
        <w:rPr>
          <w:sz w:val="20"/>
        </w:rPr>
        <w:t xml:space="preserve">  2024-2026</w:t>
      </w:r>
      <w:r>
        <w:rPr>
          <w:sz w:val="20"/>
        </w:rPr>
        <w:t>年季度保费收入趋势</w:t>
      </w:r>
    </w:p>
    <w:p w14:paraId="7F2CBAB7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业务结构特征</w:t>
      </w:r>
    </w:p>
    <w:p w14:paraId="7203FCBB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新单保费占比</w:t>
      </w:r>
      <w:r>
        <w:rPr>
          <w:color w:val="F79646"/>
          <w:sz w:val="21"/>
        </w:rPr>
        <w:t>39.2%</w:t>
      </w:r>
      <w:r>
        <w:rPr>
          <w:color w:val="F79646"/>
          <w:sz w:val="21"/>
        </w:rPr>
        <w:t>，较二季度回升</w:t>
      </w:r>
      <w:r>
        <w:rPr>
          <w:color w:val="F79646"/>
          <w:sz w:val="21"/>
        </w:rPr>
        <w:t>0.7</w:t>
      </w:r>
      <w:r>
        <w:rPr>
          <w:color w:val="F79646"/>
          <w:sz w:val="21"/>
        </w:rPr>
        <w:t>个百分点</w:t>
      </w:r>
    </w:p>
    <w:p w14:paraId="1E0394B0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续期保费占比</w:t>
      </w:r>
      <w:r>
        <w:rPr>
          <w:color w:val="F79646"/>
          <w:sz w:val="21"/>
        </w:rPr>
        <w:t>60.8%</w:t>
      </w:r>
      <w:r>
        <w:rPr>
          <w:color w:val="F79646"/>
          <w:sz w:val="21"/>
        </w:rPr>
        <w:t>，业务基本盘保持稳健</w:t>
      </w:r>
    </w:p>
    <w:p w14:paraId="0A6BD611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长期险业务份额稳定在</w:t>
      </w:r>
      <w:r>
        <w:rPr>
          <w:color w:val="F79646"/>
          <w:sz w:val="21"/>
        </w:rPr>
        <w:t>73%</w:t>
      </w:r>
      <w:r>
        <w:rPr>
          <w:color w:val="F79646"/>
          <w:sz w:val="21"/>
        </w:rPr>
        <w:t>以上，业务质量持续优化</w:t>
      </w:r>
    </w:p>
    <w:p w14:paraId="66001181" w14:textId="77777777" w:rsidR="0091080F" w:rsidRDefault="00892D7D">
      <w:pPr>
        <w:pStyle w:val="31"/>
        <w:spacing w:before="240" w:after="120"/>
      </w:pPr>
      <w:bookmarkStart w:id="11" w:name="_Toc236359183"/>
      <w:r>
        <w:rPr>
          <w:rFonts w:ascii="SimHei" w:eastAsia="SimHei" w:hAnsi="SimHei"/>
        </w:rPr>
        <w:t xml:space="preserve">3.1.2  </w:t>
      </w:r>
      <w:r>
        <w:rPr>
          <w:rFonts w:ascii="SimHei" w:eastAsia="SimHei" w:hAnsi="SimHei"/>
        </w:rPr>
        <w:t>赔付支出情况</w:t>
      </w:r>
      <w:bookmarkEnd w:id="11"/>
    </w:p>
    <w:p w14:paraId="2BAC7F12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三季度，全行业赔付支出</w:t>
      </w:r>
      <w:r>
        <w:rPr>
          <w:color w:val="000000"/>
        </w:rPr>
        <w:t>7,200</w:t>
      </w:r>
      <w:r>
        <w:rPr>
          <w:color w:val="000000"/>
        </w:rPr>
        <w:t>亿元，同比增长</w:t>
      </w:r>
      <w:r>
        <w:rPr>
          <w:color w:val="000000"/>
        </w:rPr>
        <w:t>8.5%</w:t>
      </w:r>
      <w:r>
        <w:rPr>
          <w:color w:val="000000"/>
        </w:rPr>
        <w:t>，赔付增速略高于保费增速，反映出理赔端压力仍在累积。</w:t>
      </w:r>
    </w:p>
    <w:p w14:paraId="13939D06" w14:textId="66E7DDE6" w:rsidR="0091080F" w:rsidRDefault="00892D7D">
      <w:pPr>
        <w:spacing w:before="120" w:after="120" w:line="240" w:lineRule="auto"/>
        <w:jc w:val="center"/>
      </w:pPr>
      <w:r>
        <w:rPr>
          <w:sz w:val="20"/>
        </w:rPr>
        <w:t>表</w:t>
      </w:r>
      <w:r>
        <w:rPr>
          <w:sz w:val="20"/>
        </w:rPr>
        <w:t xml:space="preserve"> </w:t>
      </w:r>
      <w:bookmarkStart w:id="12" w:name="_Ref_表_1"/>
      <w:r>
        <w:fldChar w:fldCharType="begin"/>
      </w:r>
      <w:r>
        <w:instrText>SEQ Table \* ARABIC</w:instrText>
      </w:r>
      <w:r>
        <w:fldChar w:fldCharType="separate"/>
      </w:r>
      <w:r w:rsidR="004A38C7">
        <w:rPr>
          <w:noProof/>
        </w:rPr>
        <w:t>1</w:t>
      </w:r>
      <w:r>
        <w:rPr>
          <w:sz w:val="20"/>
          <w:szCs w:val="20"/>
        </w:rPr>
        <w:fldChar w:fldCharType="end"/>
      </w:r>
      <w:bookmarkEnd w:id="12"/>
      <w:r>
        <w:rPr>
          <w:sz w:val="20"/>
        </w:rPr>
        <w:t xml:space="preserve">  2026</w:t>
      </w:r>
      <w:r>
        <w:rPr>
          <w:sz w:val="20"/>
        </w:rPr>
        <w:t>年</w:t>
      </w:r>
      <w:r>
        <w:rPr>
          <w:sz w:val="20"/>
        </w:rPr>
        <w:t>Q3</w:t>
      </w:r>
      <w:r>
        <w:rPr>
          <w:sz w:val="20"/>
        </w:rPr>
        <w:t>分险种赔付情况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3"/>
        <w:gridCol w:w="2131"/>
        <w:gridCol w:w="2131"/>
        <w:gridCol w:w="2131"/>
      </w:tblGrid>
      <w:tr w:rsidR="00BD5BB3" w14:paraId="7CF36598" w14:textId="77777777" w:rsidTr="00BD5BB3">
        <w:trPr>
          <w:tblHeader/>
        </w:trPr>
        <w:tc>
          <w:tcPr>
            <w:tcW w:w="2160" w:type="dxa"/>
            <w:shd w:val="clear" w:color="auto" w:fill="1F3864"/>
          </w:tcPr>
          <w:p w14:paraId="20FBAD99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险种类别</w:t>
            </w:r>
          </w:p>
        </w:tc>
        <w:tc>
          <w:tcPr>
            <w:tcW w:w="2160" w:type="dxa"/>
            <w:shd w:val="clear" w:color="auto" w:fill="1F3864"/>
          </w:tcPr>
          <w:p w14:paraId="723F85D2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赔付支出</w:t>
            </w:r>
            <w:r>
              <w:rPr>
                <w:b/>
                <w:color w:val="FFFFFF"/>
                <w:sz w:val="20"/>
              </w:rPr>
              <w:t>(</w:t>
            </w:r>
            <w:r>
              <w:rPr>
                <w:b/>
                <w:color w:val="FFFFFF"/>
                <w:sz w:val="20"/>
              </w:rPr>
              <w:t>亿元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160" w:type="dxa"/>
            <w:shd w:val="clear" w:color="auto" w:fill="1F3864"/>
          </w:tcPr>
          <w:p w14:paraId="09FDAED2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同比增长</w:t>
            </w:r>
          </w:p>
        </w:tc>
        <w:tc>
          <w:tcPr>
            <w:tcW w:w="2160" w:type="dxa"/>
            <w:shd w:val="clear" w:color="auto" w:fill="1F3864"/>
          </w:tcPr>
          <w:p w14:paraId="6428668F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赔付率</w:t>
            </w:r>
          </w:p>
        </w:tc>
      </w:tr>
      <w:tr w:rsidR="00BD5BB3" w14:paraId="06842E7A" w14:textId="77777777" w:rsidTr="00BD5BB3">
        <w:tc>
          <w:tcPr>
            <w:tcW w:w="2160" w:type="dxa"/>
          </w:tcPr>
          <w:p w14:paraId="208D7CC5" w14:textId="77777777" w:rsidR="00892D7D" w:rsidRDefault="00892D7D">
            <w:pPr>
              <w:jc w:val="center"/>
            </w:pPr>
            <w:r>
              <w:rPr>
                <w:sz w:val="20"/>
              </w:rPr>
              <w:lastRenderedPageBreak/>
              <w:t>寿险</w:t>
            </w:r>
          </w:p>
        </w:tc>
        <w:tc>
          <w:tcPr>
            <w:tcW w:w="2160" w:type="dxa"/>
          </w:tcPr>
          <w:p w14:paraId="6EF8517A" w14:textId="77777777" w:rsidR="00892D7D" w:rsidRDefault="00892D7D">
            <w:pPr>
              <w:jc w:val="center"/>
            </w:pPr>
            <w:r>
              <w:rPr>
                <w:sz w:val="20"/>
              </w:rPr>
              <w:t>3,380</w:t>
            </w:r>
          </w:p>
        </w:tc>
        <w:tc>
          <w:tcPr>
            <w:tcW w:w="2160" w:type="dxa"/>
          </w:tcPr>
          <w:p w14:paraId="475AB333" w14:textId="77777777" w:rsidR="00892D7D" w:rsidRDefault="00892D7D">
            <w:pPr>
              <w:jc w:val="center"/>
            </w:pPr>
            <w:r>
              <w:rPr>
                <w:sz w:val="20"/>
              </w:rPr>
              <w:t>7.0%</w:t>
            </w:r>
          </w:p>
        </w:tc>
        <w:tc>
          <w:tcPr>
            <w:tcW w:w="2160" w:type="dxa"/>
          </w:tcPr>
          <w:p w14:paraId="7D998B5B" w14:textId="77777777" w:rsidR="00892D7D" w:rsidRDefault="00892D7D">
            <w:pPr>
              <w:jc w:val="center"/>
            </w:pPr>
            <w:r>
              <w:rPr>
                <w:sz w:val="20"/>
              </w:rPr>
              <w:t>29.1%</w:t>
            </w:r>
          </w:p>
        </w:tc>
      </w:tr>
      <w:tr w:rsidR="00BD5BB3" w14:paraId="61C12985" w14:textId="77777777" w:rsidTr="00BD5BB3">
        <w:tc>
          <w:tcPr>
            <w:tcW w:w="2160" w:type="dxa"/>
            <w:shd w:val="clear" w:color="auto" w:fill="DCE6F2"/>
          </w:tcPr>
          <w:p w14:paraId="17F7C116" w14:textId="77777777" w:rsidR="00892D7D" w:rsidRDefault="00892D7D">
            <w:pPr>
              <w:jc w:val="center"/>
            </w:pPr>
            <w:r>
              <w:rPr>
                <w:sz w:val="20"/>
              </w:rPr>
              <w:t>健康险</w:t>
            </w:r>
          </w:p>
        </w:tc>
        <w:tc>
          <w:tcPr>
            <w:tcW w:w="2160" w:type="dxa"/>
            <w:shd w:val="clear" w:color="auto" w:fill="DCE6F2"/>
          </w:tcPr>
          <w:p w14:paraId="16B71667" w14:textId="77777777" w:rsidR="00892D7D" w:rsidRDefault="00892D7D">
            <w:pPr>
              <w:jc w:val="center"/>
            </w:pPr>
            <w:r>
              <w:rPr>
                <w:sz w:val="20"/>
              </w:rPr>
              <w:t>2,320</w:t>
            </w:r>
          </w:p>
        </w:tc>
        <w:tc>
          <w:tcPr>
            <w:tcW w:w="2160" w:type="dxa"/>
            <w:shd w:val="clear" w:color="auto" w:fill="DCE6F2"/>
          </w:tcPr>
          <w:p w14:paraId="08E323BF" w14:textId="77777777" w:rsidR="00892D7D" w:rsidRDefault="00892D7D">
            <w:pPr>
              <w:jc w:val="center"/>
            </w:pPr>
            <w:r>
              <w:rPr>
                <w:sz w:val="20"/>
              </w:rPr>
              <w:t>13.5%</w:t>
            </w:r>
          </w:p>
        </w:tc>
        <w:tc>
          <w:tcPr>
            <w:tcW w:w="2160" w:type="dxa"/>
            <w:shd w:val="clear" w:color="auto" w:fill="DCE6F2"/>
          </w:tcPr>
          <w:p w14:paraId="0CDEFDF4" w14:textId="77777777" w:rsidR="00892D7D" w:rsidRDefault="00892D7D">
            <w:pPr>
              <w:jc w:val="center"/>
            </w:pPr>
            <w:r>
              <w:rPr>
                <w:sz w:val="20"/>
              </w:rPr>
              <w:t>39.6%</w:t>
            </w:r>
          </w:p>
        </w:tc>
      </w:tr>
      <w:tr w:rsidR="00BD5BB3" w14:paraId="6F8C3644" w14:textId="77777777" w:rsidTr="00BD5BB3">
        <w:tc>
          <w:tcPr>
            <w:tcW w:w="2160" w:type="dxa"/>
          </w:tcPr>
          <w:p w14:paraId="4A62AFC7" w14:textId="77777777" w:rsidR="00892D7D" w:rsidRDefault="00892D7D">
            <w:pPr>
              <w:jc w:val="center"/>
            </w:pPr>
            <w:r>
              <w:rPr>
                <w:sz w:val="20"/>
              </w:rPr>
              <w:t>意外险</w:t>
            </w:r>
          </w:p>
        </w:tc>
        <w:tc>
          <w:tcPr>
            <w:tcW w:w="2160" w:type="dxa"/>
          </w:tcPr>
          <w:p w14:paraId="46FE44AD" w14:textId="77777777" w:rsidR="00892D7D" w:rsidRDefault="00892D7D">
            <w:pPr>
              <w:jc w:val="center"/>
            </w:pPr>
            <w:r>
              <w:rPr>
                <w:sz w:val="20"/>
              </w:rPr>
              <w:t>195</w:t>
            </w:r>
          </w:p>
        </w:tc>
        <w:tc>
          <w:tcPr>
            <w:tcW w:w="2160" w:type="dxa"/>
          </w:tcPr>
          <w:p w14:paraId="239D8375" w14:textId="77777777" w:rsidR="00892D7D" w:rsidRDefault="00892D7D">
            <w:pPr>
              <w:jc w:val="center"/>
            </w:pPr>
            <w:r>
              <w:rPr>
                <w:sz w:val="20"/>
              </w:rPr>
              <w:t>3.8%</w:t>
            </w:r>
          </w:p>
        </w:tc>
        <w:tc>
          <w:tcPr>
            <w:tcW w:w="2160" w:type="dxa"/>
          </w:tcPr>
          <w:p w14:paraId="6CC8D47A" w14:textId="77777777" w:rsidR="00892D7D" w:rsidRDefault="00892D7D">
            <w:pPr>
              <w:jc w:val="center"/>
            </w:pPr>
            <w:r>
              <w:rPr>
                <w:sz w:val="20"/>
              </w:rPr>
              <w:t>22.5%</w:t>
            </w:r>
          </w:p>
        </w:tc>
      </w:tr>
      <w:tr w:rsidR="00BD5BB3" w14:paraId="33B5FEAE" w14:textId="77777777" w:rsidTr="00BD5BB3">
        <w:tc>
          <w:tcPr>
            <w:tcW w:w="2160" w:type="dxa"/>
            <w:shd w:val="clear" w:color="auto" w:fill="DCE6F2"/>
          </w:tcPr>
          <w:p w14:paraId="710AC8E9" w14:textId="77777777" w:rsidR="00892D7D" w:rsidRDefault="00892D7D">
            <w:pPr>
              <w:jc w:val="center"/>
            </w:pPr>
            <w:r>
              <w:rPr>
                <w:sz w:val="20"/>
              </w:rPr>
              <w:t>车险</w:t>
            </w:r>
          </w:p>
        </w:tc>
        <w:tc>
          <w:tcPr>
            <w:tcW w:w="2160" w:type="dxa"/>
            <w:shd w:val="clear" w:color="auto" w:fill="DCE6F2"/>
          </w:tcPr>
          <w:p w14:paraId="45CA7660" w14:textId="77777777" w:rsidR="00892D7D" w:rsidRDefault="00892D7D">
            <w:pPr>
              <w:jc w:val="center"/>
            </w:pPr>
            <w:r>
              <w:rPr>
                <w:sz w:val="20"/>
              </w:rPr>
              <w:t>1,080</w:t>
            </w:r>
          </w:p>
        </w:tc>
        <w:tc>
          <w:tcPr>
            <w:tcW w:w="2160" w:type="dxa"/>
            <w:shd w:val="clear" w:color="auto" w:fill="DCE6F2"/>
          </w:tcPr>
          <w:p w14:paraId="032C11BA" w14:textId="77777777" w:rsidR="00892D7D" w:rsidRDefault="00892D7D">
            <w:pPr>
              <w:jc w:val="center"/>
            </w:pPr>
            <w:r>
              <w:rPr>
                <w:sz w:val="20"/>
              </w:rPr>
              <w:t>5.2%</w:t>
            </w:r>
          </w:p>
        </w:tc>
        <w:tc>
          <w:tcPr>
            <w:tcW w:w="2160" w:type="dxa"/>
            <w:shd w:val="clear" w:color="auto" w:fill="DCE6F2"/>
          </w:tcPr>
          <w:p w14:paraId="4CB0BFAC" w14:textId="77777777" w:rsidR="00892D7D" w:rsidRDefault="00892D7D">
            <w:pPr>
              <w:jc w:val="center"/>
            </w:pPr>
            <w:r>
              <w:rPr>
                <w:sz w:val="20"/>
              </w:rPr>
              <w:t>60.8%</w:t>
            </w:r>
          </w:p>
        </w:tc>
      </w:tr>
      <w:tr w:rsidR="00BD5BB3" w14:paraId="26D60EEE" w14:textId="77777777" w:rsidTr="00BD5BB3">
        <w:tc>
          <w:tcPr>
            <w:tcW w:w="2160" w:type="dxa"/>
          </w:tcPr>
          <w:p w14:paraId="67F837D8" w14:textId="77777777" w:rsidR="00892D7D" w:rsidRDefault="00892D7D">
            <w:pPr>
              <w:jc w:val="center"/>
            </w:pPr>
            <w:r>
              <w:rPr>
                <w:sz w:val="20"/>
              </w:rPr>
              <w:t>企财险</w:t>
            </w:r>
          </w:p>
        </w:tc>
        <w:tc>
          <w:tcPr>
            <w:tcW w:w="2160" w:type="dxa"/>
          </w:tcPr>
          <w:p w14:paraId="3883431E" w14:textId="77777777" w:rsidR="00892D7D" w:rsidRDefault="00892D7D">
            <w:pPr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w="2160" w:type="dxa"/>
          </w:tcPr>
          <w:p w14:paraId="1EB2B416" w14:textId="77777777" w:rsidR="00892D7D" w:rsidRDefault="00892D7D">
            <w:pPr>
              <w:jc w:val="center"/>
            </w:pPr>
            <w:r>
              <w:rPr>
                <w:sz w:val="20"/>
              </w:rPr>
              <w:t>-1.8%</w:t>
            </w:r>
          </w:p>
        </w:tc>
        <w:tc>
          <w:tcPr>
            <w:tcW w:w="2160" w:type="dxa"/>
          </w:tcPr>
          <w:p w14:paraId="48B36FD5" w14:textId="77777777" w:rsidR="00892D7D" w:rsidRDefault="00892D7D">
            <w:pPr>
              <w:jc w:val="center"/>
            </w:pPr>
            <w:r>
              <w:rPr>
                <w:sz w:val="20"/>
              </w:rPr>
              <w:t>34.2%</w:t>
            </w:r>
          </w:p>
        </w:tc>
      </w:tr>
      <w:tr w:rsidR="00BD5BB3" w14:paraId="16278258" w14:textId="77777777" w:rsidTr="00BD5BB3">
        <w:tc>
          <w:tcPr>
            <w:tcW w:w="2160" w:type="dxa"/>
            <w:shd w:val="clear" w:color="auto" w:fill="DCE6F2"/>
          </w:tcPr>
          <w:p w14:paraId="7D077E0C" w14:textId="77777777" w:rsidR="00892D7D" w:rsidRDefault="00892D7D">
            <w:pPr>
              <w:jc w:val="center"/>
            </w:pPr>
            <w:r>
              <w:rPr>
                <w:sz w:val="20"/>
              </w:rPr>
              <w:t>农险</w:t>
            </w:r>
          </w:p>
        </w:tc>
        <w:tc>
          <w:tcPr>
            <w:tcW w:w="2160" w:type="dxa"/>
            <w:shd w:val="clear" w:color="auto" w:fill="DCE6F2"/>
          </w:tcPr>
          <w:p w14:paraId="237B9E67" w14:textId="77777777" w:rsidR="00892D7D" w:rsidRDefault="00892D7D">
            <w:pPr>
              <w:jc w:val="center"/>
            </w:pPr>
            <w:r>
              <w:rPr>
                <w:sz w:val="20"/>
              </w:rPr>
              <w:t>165</w:t>
            </w:r>
          </w:p>
        </w:tc>
        <w:tc>
          <w:tcPr>
            <w:tcW w:w="2160" w:type="dxa"/>
            <w:shd w:val="clear" w:color="auto" w:fill="DCE6F2"/>
          </w:tcPr>
          <w:p w14:paraId="58789BA0" w14:textId="77777777" w:rsidR="00892D7D" w:rsidRDefault="00892D7D">
            <w:pPr>
              <w:jc w:val="center"/>
            </w:pPr>
            <w:r>
              <w:rPr>
                <w:sz w:val="20"/>
              </w:rPr>
              <w:t>10.1%</w:t>
            </w:r>
          </w:p>
        </w:tc>
        <w:tc>
          <w:tcPr>
            <w:tcW w:w="2160" w:type="dxa"/>
            <w:shd w:val="clear" w:color="auto" w:fill="DCE6F2"/>
          </w:tcPr>
          <w:p w14:paraId="25F72A89" w14:textId="77777777" w:rsidR="00892D7D" w:rsidRDefault="00892D7D">
            <w:pPr>
              <w:jc w:val="center"/>
            </w:pPr>
            <w:r>
              <w:rPr>
                <w:sz w:val="20"/>
              </w:rPr>
              <w:t>43.5%</w:t>
            </w:r>
          </w:p>
        </w:tc>
      </w:tr>
    </w:tbl>
    <w:p w14:paraId="04C022C5" w14:textId="77777777" w:rsidR="0091080F" w:rsidRDefault="0091080F"/>
    <w:p w14:paraId="5A0286E7" w14:textId="77777777" w:rsidR="0091080F" w:rsidRDefault="00892D7D">
      <w:pPr>
        <w:spacing w:after="80" w:line="360" w:lineRule="auto"/>
        <w:ind w:firstLineChars="200" w:firstLine="480"/>
      </w:pPr>
      <w:r>
        <w:rPr>
          <w:rFonts w:ascii="STZhongsong" w:eastAsia="STZhongsong" w:hAnsi="STZhongsong"/>
          <w:color w:val="000000"/>
          <w:sz w:val="24"/>
        </w:rPr>
        <w:t>健康险赔付增速继续高于其他险种，表明业务规模扩张的同时理赔压力同步上行。车险赔付率小幅回落至</w:t>
      </w:r>
      <w:r>
        <w:rPr>
          <w:rFonts w:ascii="STZhongsong" w:eastAsia="STZhongsong" w:hAnsi="STZhongsong"/>
          <w:color w:val="000000"/>
          <w:sz w:val="24"/>
        </w:rPr>
        <w:t>60.8%</w:t>
      </w:r>
      <w:r>
        <w:rPr>
          <w:rFonts w:ascii="STZhongsong" w:eastAsia="STZhongsong" w:hAnsi="STZhongsong"/>
          <w:color w:val="000000"/>
          <w:sz w:val="24"/>
        </w:rPr>
        <w:t>，定价机制优化效果初步显现。</w:t>
      </w:r>
    </w:p>
    <w:p w14:paraId="2DFE339F" w14:textId="77777777" w:rsidR="0091080F" w:rsidRDefault="00892D7D">
      <w:pPr>
        <w:pStyle w:val="21"/>
        <w:spacing w:before="240" w:after="120"/>
      </w:pPr>
      <w:bookmarkStart w:id="13" w:name="_Toc236359184"/>
      <w:r>
        <w:rPr>
          <w:rFonts w:ascii="SimHei" w:eastAsia="SimHei" w:hAnsi="SimHei"/>
        </w:rPr>
        <w:t xml:space="preserve">3.2  </w:t>
      </w:r>
      <w:r>
        <w:rPr>
          <w:rFonts w:ascii="SimHei" w:eastAsia="SimHei" w:hAnsi="SimHei"/>
        </w:rPr>
        <w:t>分险种保费结构</w:t>
      </w:r>
      <w:bookmarkEnd w:id="13"/>
    </w:p>
    <w:p w14:paraId="0C0F1D3A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本季度各险种份额延续优化趋势，健康险与养老险占比持续抬升，传统寿险份额回落，产品结构向保障型、长期型转型的方向更加清晰。</w:t>
      </w:r>
    </w:p>
    <w:p w14:paraId="3AE0F1F8" w14:textId="77777777" w:rsidR="0091080F" w:rsidRDefault="00892D7D">
      <w:pPr>
        <w:pStyle w:val="31"/>
        <w:spacing w:before="240" w:after="120"/>
      </w:pPr>
      <w:bookmarkStart w:id="14" w:name="_Toc236359185"/>
      <w:r>
        <w:rPr>
          <w:rFonts w:ascii="SimHei" w:eastAsia="SimHei" w:hAnsi="SimHei"/>
        </w:rPr>
        <w:t xml:space="preserve">3.2.1  </w:t>
      </w:r>
      <w:r>
        <w:rPr>
          <w:rFonts w:ascii="SimHei" w:eastAsia="SimHei" w:hAnsi="SimHei"/>
        </w:rPr>
        <w:t>财产险保费分析</w:t>
      </w:r>
      <w:bookmarkEnd w:id="14"/>
    </w:p>
    <w:p w14:paraId="62AF7DE6" w14:textId="77777777" w:rsidR="0091080F" w:rsidRDefault="00892D7D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t>财产险公司三季度实现保费收入</w:t>
      </w:r>
      <w:r>
        <w:rPr>
          <w:rFonts w:ascii="STZhongsong" w:eastAsia="STZhongsong" w:hAnsi="STZhongsong"/>
          <w:color w:val="000000"/>
        </w:rPr>
        <w:t>5,350</w:t>
      </w:r>
      <w:r>
        <w:rPr>
          <w:rFonts w:ascii="STZhongsong" w:eastAsia="STZhongsong" w:hAnsi="STZhongsong"/>
          <w:color w:val="000000"/>
        </w:rPr>
        <w:t>亿元，同比增长</w:t>
      </w:r>
      <w:r>
        <w:rPr>
          <w:rFonts w:ascii="STZhongsong" w:eastAsia="STZhongsong" w:hAnsi="STZhongsong"/>
          <w:color w:val="000000"/>
        </w:rPr>
        <w:t>6.0%</w:t>
      </w:r>
      <w:r>
        <w:rPr>
          <w:rFonts w:ascii="STZhongsong" w:eastAsia="STZhongsong" w:hAnsi="STZhongsong"/>
          <w:color w:val="000000"/>
        </w:rPr>
        <w:t>。非车险业务保持较快扩张，业务结构持续优化。</w:t>
      </w:r>
    </w:p>
    <w:p w14:paraId="017DD359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各险种经营表现</w:t>
      </w:r>
    </w:p>
    <w:p w14:paraId="5321BB4C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车险保费收入</w:t>
      </w:r>
      <w:r>
        <w:rPr>
          <w:rFonts w:ascii="STZhongsong" w:eastAsia="STZhongsong" w:hAnsi="STZhongsong"/>
          <w:color w:val="000000"/>
          <w:sz w:val="21"/>
        </w:rPr>
        <w:t>3,240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4.5%</w:t>
      </w:r>
      <w:r>
        <w:rPr>
          <w:rFonts w:ascii="STZhongsong" w:eastAsia="STZhongsong" w:hAnsi="STZhongsong"/>
          <w:color w:val="000000"/>
          <w:sz w:val="21"/>
        </w:rPr>
        <w:t>，份额</w:t>
      </w:r>
      <w:r>
        <w:rPr>
          <w:rFonts w:ascii="STZhongsong" w:eastAsia="STZhongsong" w:hAnsi="STZhongsong"/>
          <w:color w:val="000000"/>
          <w:sz w:val="21"/>
        </w:rPr>
        <w:t>60.5%</w:t>
      </w:r>
    </w:p>
    <w:p w14:paraId="501B34C4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非车险保费收入</w:t>
      </w:r>
      <w:r>
        <w:rPr>
          <w:rFonts w:ascii="STZhongsong" w:eastAsia="STZhongsong" w:hAnsi="STZhongsong"/>
          <w:color w:val="000000"/>
          <w:sz w:val="21"/>
        </w:rPr>
        <w:t>2,110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8.4%</w:t>
      </w:r>
      <w:r>
        <w:rPr>
          <w:rFonts w:ascii="STZhongsong" w:eastAsia="STZhongsong" w:hAnsi="STZhongsong"/>
          <w:color w:val="000000"/>
          <w:sz w:val="21"/>
        </w:rPr>
        <w:t>，份额</w:t>
      </w:r>
      <w:r>
        <w:rPr>
          <w:rFonts w:ascii="STZhongsong" w:eastAsia="STZhongsong" w:hAnsi="STZhongsong"/>
          <w:color w:val="000000"/>
          <w:sz w:val="21"/>
        </w:rPr>
        <w:t>39.5%</w:t>
      </w:r>
    </w:p>
    <w:p w14:paraId="3EC4268F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责任险保费收入</w:t>
      </w:r>
      <w:r>
        <w:rPr>
          <w:rFonts w:ascii="STZhongsong" w:eastAsia="STZhongsong" w:hAnsi="STZhongsong"/>
          <w:color w:val="000000"/>
          <w:sz w:val="21"/>
        </w:rPr>
        <w:t>410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13.2%</w:t>
      </w:r>
      <w:r>
        <w:rPr>
          <w:rFonts w:ascii="STZhongsong" w:eastAsia="STZhongsong" w:hAnsi="STZhongsong"/>
          <w:color w:val="000000"/>
          <w:sz w:val="21"/>
        </w:rPr>
        <w:t>，增速居各险种之首</w:t>
      </w:r>
    </w:p>
    <w:p w14:paraId="0608103F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农险保费收入</w:t>
      </w:r>
      <w:r>
        <w:rPr>
          <w:rFonts w:ascii="STZhongsong" w:eastAsia="STZhongsong" w:hAnsi="STZhongsong"/>
          <w:color w:val="000000"/>
          <w:sz w:val="21"/>
        </w:rPr>
        <w:t>440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9.1%</w:t>
      </w:r>
    </w:p>
    <w:p w14:paraId="7E64019F" w14:textId="77777777" w:rsidR="00892D7D" w:rsidRPr="00FC6F26" w:rsidRDefault="00892D7D">
      <w:pPr>
        <w:jc w:val="center"/>
        <w:rPr>
          <w:rFonts w:ascii="STZhongsong" w:eastAsia="STZhongsong" w:hAnsi="STZhongsong"/>
        </w:rPr>
      </w:pPr>
      <w:r w:rsidRPr="00FC6F26">
        <w:rPr>
          <w:rFonts w:ascii="STZhongsong" w:eastAsia="STZhongsong" w:hAnsi="STZhongsong"/>
          <w:noProof/>
        </w:rPr>
        <w:lastRenderedPageBreak/>
        <w:drawing>
          <wp:inline distT="0" distB="0" distL="0" distR="0" wp14:anchorId="289B0CA4" wp14:editId="5F40BCD4">
            <wp:extent cx="4754880" cy="5006930"/>
            <wp:effectExtent l="0" t="0" r="0" b="0"/>
            <wp:docPr id="154610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财险占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2E91" w14:textId="26CFF88E" w:rsidR="0091080F" w:rsidRDefault="00892D7D">
      <w:pPr>
        <w:spacing w:before="120" w:after="120" w:line="240" w:lineRule="auto"/>
        <w:jc w:val="center"/>
      </w:pPr>
      <w:r>
        <w:rPr>
          <w:sz w:val="20"/>
        </w:rPr>
        <w:t>图</w:t>
      </w:r>
      <w:r>
        <w:rPr>
          <w:sz w:val="20"/>
        </w:rPr>
        <w:t xml:space="preserve"> </w:t>
      </w:r>
      <w:bookmarkStart w:id="15" w:name="_Ref_图_2"/>
      <w:r>
        <w:fldChar w:fldCharType="begin"/>
      </w:r>
      <w:r>
        <w:instrText>SEQ Figure \* ARABIC</w:instrText>
      </w:r>
      <w:r>
        <w:fldChar w:fldCharType="separate"/>
      </w:r>
      <w:r w:rsidR="004A38C7">
        <w:rPr>
          <w:noProof/>
        </w:rPr>
        <w:t>2</w:t>
      </w:r>
      <w:r>
        <w:rPr>
          <w:sz w:val="20"/>
          <w:szCs w:val="20"/>
        </w:rPr>
        <w:fldChar w:fldCharType="end"/>
      </w:r>
      <w:bookmarkEnd w:id="15"/>
      <w:r>
        <w:rPr>
          <w:sz w:val="20"/>
        </w:rPr>
        <w:t xml:space="preserve">  2026</w:t>
      </w:r>
      <w:r>
        <w:rPr>
          <w:sz w:val="20"/>
        </w:rPr>
        <w:t>年</w:t>
      </w:r>
      <w:r>
        <w:rPr>
          <w:sz w:val="20"/>
        </w:rPr>
        <w:t>Q3</w:t>
      </w:r>
      <w:r>
        <w:rPr>
          <w:sz w:val="20"/>
        </w:rPr>
        <w:t>财产险分险种保费占比</w:t>
      </w:r>
    </w:p>
    <w:p w14:paraId="3ECA499E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车险市场观察</w:t>
      </w:r>
    </w:p>
    <w:p w14:paraId="7176FD2D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车均保费小幅降至</w:t>
      </w:r>
      <w:r>
        <w:rPr>
          <w:rFonts w:ascii="STZhongsong" w:eastAsia="STZhongsong" w:hAnsi="STZhongsong"/>
          <w:color w:val="000000"/>
          <w:sz w:val="21"/>
        </w:rPr>
        <w:t>1,820</w:t>
      </w:r>
      <w:r>
        <w:rPr>
          <w:rFonts w:ascii="STZhongsong" w:eastAsia="STZhongsong" w:hAnsi="STZhongsong"/>
          <w:color w:val="000000"/>
          <w:sz w:val="21"/>
        </w:rPr>
        <w:t>元，同比下降</w:t>
      </w:r>
      <w:r>
        <w:rPr>
          <w:rFonts w:ascii="STZhongsong" w:eastAsia="STZhongsong" w:hAnsi="STZhongsong"/>
          <w:color w:val="000000"/>
          <w:sz w:val="21"/>
        </w:rPr>
        <w:t>1.5%</w:t>
      </w:r>
    </w:p>
    <w:p w14:paraId="7CDB8BD3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新能源车险保费收入</w:t>
      </w:r>
      <w:r>
        <w:rPr>
          <w:rFonts w:ascii="STZhongsong" w:eastAsia="STZhongsong" w:hAnsi="STZhongsong"/>
          <w:color w:val="000000"/>
          <w:sz w:val="21"/>
        </w:rPr>
        <w:t>380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52%</w:t>
      </w:r>
      <w:r>
        <w:rPr>
          <w:rFonts w:ascii="STZhongsong" w:eastAsia="STZhongsong" w:hAnsi="STZhongsong"/>
          <w:color w:val="000000"/>
          <w:sz w:val="21"/>
        </w:rPr>
        <w:t>，成为关键增长极</w:t>
      </w:r>
    </w:p>
    <w:p w14:paraId="0D900DD3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车险自主定价系数浮动区间进一步拓宽，差异化定价能力提升</w:t>
      </w:r>
    </w:p>
    <w:p w14:paraId="6A6F07FB" w14:textId="77777777" w:rsidR="0091080F" w:rsidRDefault="00892D7D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t>非车险业务的快速扩张有效对冲了车险增速放缓的影响，财险公司业务结构持续优化，非车份额创近年新高。</w:t>
      </w:r>
    </w:p>
    <w:p w14:paraId="40920818" w14:textId="77777777" w:rsidR="0091080F" w:rsidRDefault="00892D7D">
      <w:pPr>
        <w:pStyle w:val="21"/>
        <w:spacing w:before="240" w:after="120"/>
      </w:pPr>
      <w:bookmarkStart w:id="16" w:name="_Toc236359186"/>
      <w:r>
        <w:rPr>
          <w:rFonts w:ascii="SimHei" w:eastAsia="SimHei" w:hAnsi="SimHei"/>
        </w:rPr>
        <w:t xml:space="preserve">3.3  </w:t>
      </w:r>
      <w:r>
        <w:rPr>
          <w:rFonts w:ascii="SimHei" w:eastAsia="SimHei" w:hAnsi="SimHei"/>
        </w:rPr>
        <w:t>中小险企市场份额</w:t>
      </w:r>
      <w:bookmarkEnd w:id="16"/>
    </w:p>
    <w:p w14:paraId="3D4D4760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行业集中度方面，头部险企份额延续小幅回落态势，中小险企在细分赛道的差异化竞争力进一步增强。</w:t>
      </w:r>
    </w:p>
    <w:p w14:paraId="58B812BA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lastRenderedPageBreak/>
        <w:t>集中度变化</w:t>
      </w:r>
    </w:p>
    <w:p w14:paraId="28B35625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CR5</w:t>
      </w:r>
      <w:r>
        <w:rPr>
          <w:color w:val="000000"/>
          <w:sz w:val="21"/>
        </w:rPr>
        <w:t>（前五大险企）市场份额</w:t>
      </w:r>
      <w:r>
        <w:rPr>
          <w:color w:val="000000"/>
          <w:sz w:val="21"/>
        </w:rPr>
        <w:t>51.8%</w:t>
      </w:r>
      <w:r>
        <w:rPr>
          <w:color w:val="000000"/>
          <w:sz w:val="21"/>
        </w:rPr>
        <w:t>，较去年同期收窄</w:t>
      </w:r>
      <w:r>
        <w:rPr>
          <w:color w:val="000000"/>
          <w:sz w:val="21"/>
        </w:rPr>
        <w:t>1.0</w:t>
      </w:r>
      <w:r>
        <w:rPr>
          <w:color w:val="000000"/>
          <w:sz w:val="21"/>
        </w:rPr>
        <w:t>个百分点</w:t>
      </w:r>
    </w:p>
    <w:p w14:paraId="02FC847D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CR10</w:t>
      </w:r>
      <w:r>
        <w:rPr>
          <w:color w:val="000000"/>
          <w:sz w:val="21"/>
        </w:rPr>
        <w:t>市场份额</w:t>
      </w:r>
      <w:r>
        <w:rPr>
          <w:color w:val="000000"/>
          <w:sz w:val="21"/>
        </w:rPr>
        <w:t>67.9%</w:t>
      </w:r>
      <w:r>
        <w:rPr>
          <w:color w:val="000000"/>
          <w:sz w:val="21"/>
        </w:rPr>
        <w:t>，较去年同期收窄</w:t>
      </w:r>
      <w:r>
        <w:rPr>
          <w:color w:val="000000"/>
          <w:sz w:val="21"/>
        </w:rPr>
        <w:t>0.8</w:t>
      </w:r>
      <w:r>
        <w:rPr>
          <w:color w:val="000000"/>
          <w:sz w:val="21"/>
        </w:rPr>
        <w:t>个百分点</w:t>
      </w:r>
    </w:p>
    <w:p w14:paraId="2C7367FC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中小险企在健康险、农险、责任险等细分领域的份额持续抬升</w:t>
      </w:r>
    </w:p>
    <w:p w14:paraId="6268E758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中小险企突围路径</w:t>
      </w:r>
    </w:p>
    <w:p w14:paraId="6D7FFFAC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锚定区域市场，深耕特定客群与细分场景</w:t>
      </w:r>
    </w:p>
    <w:p w14:paraId="6280481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依托科技赋能，运营效率持续改善</w:t>
      </w:r>
    </w:p>
    <w:p w14:paraId="6E5B909F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深化与互联网平台合作，拓宽获客通道</w:t>
      </w:r>
    </w:p>
    <w:p w14:paraId="49C808EA" w14:textId="77777777" w:rsidR="0091080F" w:rsidRDefault="00892D7D">
      <w:pPr>
        <w:pStyle w:val="21"/>
        <w:spacing w:before="240" w:after="120"/>
      </w:pPr>
      <w:bookmarkStart w:id="17" w:name="_Toc236359187"/>
      <w:r>
        <w:rPr>
          <w:rFonts w:ascii="SimHei" w:eastAsia="SimHei" w:hAnsi="SimHei"/>
        </w:rPr>
        <w:t xml:space="preserve">4.1  </w:t>
      </w:r>
      <w:r>
        <w:rPr>
          <w:rFonts w:ascii="SimHei" w:eastAsia="SimHei" w:hAnsi="SimHei"/>
        </w:rPr>
        <w:t>传统保险产品创新</w:t>
      </w:r>
      <w:bookmarkEnd w:id="17"/>
    </w:p>
    <w:p w14:paraId="1A0ADB3E" w14:textId="77777777" w:rsidR="0091080F" w:rsidRDefault="00892D7D">
      <w:pPr>
        <w:spacing w:after="80" w:line="360" w:lineRule="auto"/>
        <w:ind w:firstLineChars="200" w:firstLine="480"/>
      </w:pPr>
      <w:r>
        <w:rPr>
          <w:rFonts w:ascii="STZhongsong" w:eastAsia="STZhongsong" w:hAnsi="STZhongsong"/>
          <w:color w:val="000000"/>
          <w:sz w:val="24"/>
        </w:rPr>
        <w:t>传统保险产品在本季度延续「保障</w:t>
      </w:r>
      <w:r>
        <w:rPr>
          <w:rFonts w:ascii="STZhongsong" w:eastAsia="STZhongsong" w:hAnsi="STZhongsong"/>
          <w:color w:val="000000"/>
          <w:sz w:val="24"/>
        </w:rPr>
        <w:t>+</w:t>
      </w:r>
      <w:r>
        <w:rPr>
          <w:rFonts w:ascii="STZhongsong" w:eastAsia="STZhongsong" w:hAnsi="STZhongsong"/>
          <w:color w:val="000000"/>
          <w:sz w:val="24"/>
        </w:rPr>
        <w:t>服务」融合创新主线，产品形态从单一财务补偿向综合服务方案加速演进。</w:t>
      </w:r>
    </w:p>
    <w:p w14:paraId="2D899205" w14:textId="77777777" w:rsidR="0091080F" w:rsidRDefault="00892D7D">
      <w:pPr>
        <w:spacing w:before="120" w:after="40" w:line="360" w:lineRule="auto"/>
        <w:ind w:firstLineChars="200" w:firstLine="480"/>
      </w:pPr>
      <w:r>
        <w:rPr>
          <w:rFonts w:ascii="STZhongsong" w:eastAsia="STZhongsong" w:hAnsi="STZhongsong"/>
          <w:b/>
          <w:color w:val="000000"/>
          <w:sz w:val="24"/>
        </w:rPr>
        <w:t>寿险产品迭代</w:t>
      </w:r>
    </w:p>
    <w:p w14:paraId="11B3A203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重疾险引入「分层赔付</w:t>
      </w:r>
      <w:r>
        <w:rPr>
          <w:rFonts w:ascii="STZhongsong" w:eastAsia="STZhongsong" w:hAnsi="STZhongsong"/>
          <w:color w:val="000000"/>
          <w:sz w:val="24"/>
        </w:rPr>
        <w:t>+</w:t>
      </w:r>
      <w:r>
        <w:rPr>
          <w:rFonts w:ascii="STZhongsong" w:eastAsia="STZhongsong" w:hAnsi="STZhongsong"/>
          <w:color w:val="000000"/>
          <w:sz w:val="24"/>
        </w:rPr>
        <w:t>健康管理」机制，轻症中症重症阶梯式给付</w:t>
      </w:r>
    </w:p>
    <w:p w14:paraId="335AF88D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定期寿险接入可穿戴设备，提供动态费率优惠</w:t>
      </w:r>
    </w:p>
    <w:p w14:paraId="43FDFA30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年金险增加万能账户灵活配置及年金转换功能</w:t>
      </w:r>
    </w:p>
    <w:p w14:paraId="0173C96D" w14:textId="77777777" w:rsidR="0091080F" w:rsidRDefault="00892D7D">
      <w:pPr>
        <w:spacing w:before="120" w:after="40" w:line="360" w:lineRule="auto"/>
        <w:ind w:firstLineChars="200" w:firstLine="480"/>
      </w:pPr>
      <w:r>
        <w:rPr>
          <w:rFonts w:ascii="STZhongsong" w:eastAsia="STZhongsong" w:hAnsi="STZhongsong"/>
          <w:b/>
          <w:color w:val="000000"/>
          <w:sz w:val="24"/>
        </w:rPr>
        <w:t>健康险产品动向</w:t>
      </w:r>
    </w:p>
    <w:p w14:paraId="520300BC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百万医疗险扩充特药保障与前沿疗法覆盖范围</w:t>
      </w:r>
    </w:p>
    <w:p w14:paraId="58401798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长期护理险试点扩至</w:t>
      </w:r>
      <w:r>
        <w:rPr>
          <w:rFonts w:ascii="STZhongsong" w:eastAsia="STZhongsong" w:hAnsi="STZhongsong"/>
          <w:color w:val="000000"/>
          <w:sz w:val="24"/>
        </w:rPr>
        <w:t>35</w:t>
      </w:r>
      <w:r>
        <w:rPr>
          <w:rFonts w:ascii="STZhongsong" w:eastAsia="STZhongsong" w:hAnsi="STZhongsong"/>
          <w:color w:val="000000"/>
          <w:sz w:val="24"/>
        </w:rPr>
        <w:t>个城市，服务给付模式探索推进</w:t>
      </w:r>
    </w:p>
    <w:p w14:paraId="2DD60BB8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城市定制惠民保进入精细化运营阶段，续保率稳步提升</w:t>
      </w:r>
    </w:p>
    <w:p w14:paraId="078C6219" w14:textId="77777777" w:rsidR="0091080F" w:rsidRDefault="00892D7D">
      <w:pPr>
        <w:spacing w:before="120" w:after="40" w:line="360" w:lineRule="auto"/>
        <w:ind w:firstLineChars="200" w:firstLine="480"/>
      </w:pPr>
      <w:r>
        <w:rPr>
          <w:rFonts w:ascii="STZhongsong" w:eastAsia="STZhongsong" w:hAnsi="STZhongsong"/>
          <w:b/>
          <w:color w:val="000000"/>
          <w:sz w:val="24"/>
        </w:rPr>
        <w:t>创新亮点</w:t>
      </w:r>
    </w:p>
    <w:p w14:paraId="2F9BFACD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「保险</w:t>
      </w:r>
      <w:r>
        <w:rPr>
          <w:rFonts w:ascii="STZhongsong" w:eastAsia="STZhongsong" w:hAnsi="STZhongsong"/>
          <w:color w:val="000000"/>
          <w:sz w:val="24"/>
        </w:rPr>
        <w:t>+</w:t>
      </w:r>
      <w:r>
        <w:rPr>
          <w:rFonts w:ascii="STZhongsong" w:eastAsia="STZhongsong" w:hAnsi="STZhongsong"/>
          <w:color w:val="000000"/>
          <w:sz w:val="24"/>
        </w:rPr>
        <w:t>健康管理」模式深化，超</w:t>
      </w:r>
      <w:r>
        <w:rPr>
          <w:rFonts w:ascii="STZhongsong" w:eastAsia="STZhongsong" w:hAnsi="STZhongsong"/>
          <w:color w:val="000000"/>
          <w:sz w:val="24"/>
        </w:rPr>
        <w:t>65%</w:t>
      </w:r>
      <w:r>
        <w:rPr>
          <w:rFonts w:ascii="STZhongsong" w:eastAsia="STZhongsong" w:hAnsi="STZhongsong"/>
          <w:color w:val="000000"/>
          <w:sz w:val="24"/>
        </w:rPr>
        <w:t>的新单健康险绑定健康管理服务</w:t>
      </w:r>
    </w:p>
    <w:p w14:paraId="0DF15A46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分红型产品吸引力持续增强，多家公司推出分红型增额终身寿险新品</w:t>
      </w:r>
    </w:p>
    <w:p w14:paraId="7F20F40F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产品定价精细化程度提升，大数据精准定价能力成为核心竞争力</w:t>
      </w:r>
    </w:p>
    <w:p w14:paraId="2E3FF257" w14:textId="77777777" w:rsidR="0091080F" w:rsidRDefault="00892D7D">
      <w:pPr>
        <w:pStyle w:val="21"/>
        <w:spacing w:before="240" w:after="120"/>
      </w:pPr>
      <w:bookmarkStart w:id="18" w:name="_Toc236359188"/>
      <w:r>
        <w:rPr>
          <w:rFonts w:ascii="SimHei" w:eastAsia="SimHei" w:hAnsi="SimHei"/>
        </w:rPr>
        <w:lastRenderedPageBreak/>
        <w:t xml:space="preserve">4.2  </w:t>
      </w:r>
      <w:r>
        <w:rPr>
          <w:rFonts w:ascii="SimHei" w:eastAsia="SimHei" w:hAnsi="SimHei"/>
        </w:rPr>
        <w:t>新兴保险产品发展</w:t>
      </w:r>
      <w:bookmarkEnd w:id="18"/>
    </w:p>
    <w:p w14:paraId="6640B611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数字化转型持续催生新兴保险产品，场景化、碎片化、定制化特征凸显，构成行业增长的新动能。</w:t>
      </w:r>
    </w:p>
    <w:p w14:paraId="5B95886F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互联网保险产品</w:t>
      </w:r>
    </w:p>
    <w:p w14:paraId="129FF77F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场景化保险覆盖电商、出行、社交等</w:t>
      </w:r>
      <w:r>
        <w:rPr>
          <w:color w:val="000000"/>
          <w:sz w:val="21"/>
        </w:rPr>
        <w:t>220</w:t>
      </w:r>
      <w:r>
        <w:rPr>
          <w:color w:val="000000"/>
          <w:sz w:val="21"/>
        </w:rPr>
        <w:t>余个细分场景</w:t>
      </w:r>
    </w:p>
    <w:p w14:paraId="1DE68F91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按需保险快速增长，</w:t>
      </w:r>
      <w:r>
        <w:rPr>
          <w:color w:val="000000"/>
          <w:sz w:val="21"/>
        </w:rPr>
        <w:t>UBI</w:t>
      </w:r>
      <w:r>
        <w:rPr>
          <w:color w:val="000000"/>
          <w:sz w:val="21"/>
        </w:rPr>
        <w:t>车险试点城市扩至</w:t>
      </w:r>
      <w:r>
        <w:rPr>
          <w:color w:val="000000"/>
          <w:sz w:val="21"/>
        </w:rPr>
        <w:t>20</w:t>
      </w:r>
      <w:r>
        <w:rPr>
          <w:color w:val="000000"/>
          <w:sz w:val="21"/>
        </w:rPr>
        <w:t>个</w:t>
      </w:r>
    </w:p>
    <w:p w14:paraId="311E6BA5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宠物保险、齿科保险等垂直品类持续受到年轻客群追捧</w:t>
      </w:r>
    </w:p>
    <w:p w14:paraId="771454BB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科技保险产品</w:t>
      </w:r>
    </w:p>
    <w:p w14:paraId="62038830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网络安全保险保费收入突破</w:t>
      </w:r>
      <w:r>
        <w:rPr>
          <w:color w:val="000000"/>
          <w:sz w:val="21"/>
        </w:rPr>
        <w:t>22</w:t>
      </w:r>
      <w:r>
        <w:rPr>
          <w:color w:val="000000"/>
          <w:sz w:val="21"/>
        </w:rPr>
        <w:t>亿元，同比激增</w:t>
      </w:r>
      <w:r>
        <w:rPr>
          <w:color w:val="000000"/>
          <w:sz w:val="21"/>
        </w:rPr>
        <w:t>90%</w:t>
      </w:r>
    </w:p>
    <w:p w14:paraId="3C8C75D3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知识产权保险覆盖范围扩至</w:t>
      </w:r>
      <w:r>
        <w:rPr>
          <w:color w:val="000000"/>
          <w:sz w:val="21"/>
        </w:rPr>
        <w:t>25</w:t>
      </w:r>
      <w:r>
        <w:rPr>
          <w:color w:val="000000"/>
          <w:sz w:val="21"/>
        </w:rPr>
        <w:t>个省级行政区</w:t>
      </w:r>
    </w:p>
    <w:p w14:paraId="7390F811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绿色保险产品体系持续完善，碳交易、新能源、环保领域产品矩阵丰富</w:t>
      </w:r>
    </w:p>
    <w:p w14:paraId="1B898AE8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创新方向</w:t>
      </w:r>
    </w:p>
    <w:p w14:paraId="06A29AF6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AI</w:t>
      </w:r>
      <w:r>
        <w:rPr>
          <w:color w:val="000000"/>
          <w:sz w:val="21"/>
        </w:rPr>
        <w:t>驱动的动态定价产品应用范围由车险向健康险延伸</w:t>
      </w:r>
    </w:p>
    <w:p w14:paraId="271F7715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区块链技术在再保险与理赔场景实现规模化应用</w:t>
      </w:r>
    </w:p>
    <w:p w14:paraId="7D281E71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保险与科技企业的生态协同模式已成主流路径</w:t>
      </w:r>
    </w:p>
    <w:p w14:paraId="0724CFA3" w14:textId="77777777" w:rsidR="0091080F" w:rsidRDefault="00892D7D">
      <w:pPr>
        <w:pStyle w:val="21"/>
        <w:spacing w:before="240" w:after="120"/>
      </w:pPr>
      <w:bookmarkStart w:id="19" w:name="_Toc236359189"/>
      <w:r>
        <w:rPr>
          <w:rFonts w:ascii="SimHei" w:eastAsia="SimHei" w:hAnsi="SimHei"/>
        </w:rPr>
        <w:t xml:space="preserve">4.3  </w:t>
      </w:r>
      <w:r>
        <w:rPr>
          <w:rFonts w:ascii="SimHei" w:eastAsia="SimHei" w:hAnsi="SimHei"/>
        </w:rPr>
        <w:t>产品定价策略变化</w:t>
      </w:r>
      <w:bookmarkEnd w:id="19"/>
    </w:p>
    <w:p w14:paraId="2A3E59FC" w14:textId="77777777" w:rsidR="0091080F" w:rsidRDefault="00892D7D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t>低利率环境下，各公司定价策略持续调整，定价机制从粗放统一定价向精细化、动态化、差异化定价加速演进。</w:t>
      </w:r>
    </w:p>
    <w:p w14:paraId="350EF41C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定价利率监管动态</w:t>
      </w:r>
    </w:p>
    <w:p w14:paraId="19B7AEAA" w14:textId="77777777" w:rsidR="0091080F" w:rsidRDefault="00892D7D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传统寿险定价利率上限保持在</w:t>
      </w:r>
      <w:r>
        <w:rPr>
          <w:rFonts w:ascii="STZhongsong" w:eastAsia="STZhongsong" w:hAnsi="STZhongsong"/>
          <w:color w:val="000000"/>
          <w:sz w:val="21"/>
        </w:rPr>
        <w:t>2.5%</w:t>
      </w:r>
      <w:r>
        <w:rPr>
          <w:rFonts w:ascii="STZhongsong" w:eastAsia="STZhongsong" w:hAnsi="STZhongsong"/>
          <w:color w:val="000000"/>
          <w:sz w:val="21"/>
        </w:rPr>
        <w:t>水平</w:t>
      </w:r>
    </w:p>
    <w:p w14:paraId="36B47717" w14:textId="77777777" w:rsidR="0091080F" w:rsidRDefault="00892D7D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分红险演示利率上限维持</w:t>
      </w:r>
      <w:r>
        <w:rPr>
          <w:rFonts w:ascii="STZhongsong" w:eastAsia="STZhongsong" w:hAnsi="STZhongsong"/>
          <w:color w:val="000000"/>
          <w:sz w:val="21"/>
        </w:rPr>
        <w:t>4.0%</w:t>
      </w:r>
      <w:r>
        <w:rPr>
          <w:rFonts w:ascii="STZhongsong" w:eastAsia="STZhongsong" w:hAnsi="STZhongsong"/>
          <w:color w:val="000000"/>
          <w:sz w:val="21"/>
        </w:rPr>
        <w:t>，实际派发红利水平有所上浮</w:t>
      </w:r>
    </w:p>
    <w:p w14:paraId="44498433" w14:textId="77777777" w:rsidR="0091080F" w:rsidRDefault="00892D7D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万能险最低保证利率上限维持</w:t>
      </w:r>
      <w:r>
        <w:rPr>
          <w:rFonts w:ascii="STZhongsong" w:eastAsia="STZhongsong" w:hAnsi="STZhongsong"/>
          <w:color w:val="000000"/>
          <w:sz w:val="21"/>
        </w:rPr>
        <w:t>1.75%</w:t>
      </w:r>
    </w:p>
    <w:p w14:paraId="53616002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定价技术升级</w:t>
      </w:r>
    </w:p>
    <w:p w14:paraId="59AD1181" w14:textId="77777777" w:rsidR="0091080F" w:rsidRDefault="00892D7D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大数据精算模型应用广度持续拓展，定价颗粒度进一步细化</w:t>
      </w:r>
    </w:p>
    <w:p w14:paraId="5F856777" w14:textId="77777777" w:rsidR="0091080F" w:rsidRDefault="00892D7D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动态定价试点范围由车险向健康险、意外险领域延伸</w:t>
      </w:r>
    </w:p>
    <w:p w14:paraId="1BDF25C3" w14:textId="77777777" w:rsidR="0091080F" w:rsidRDefault="00892D7D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lastRenderedPageBreak/>
        <w:t>基于行为数据的定价（</w:t>
      </w:r>
      <w:r>
        <w:rPr>
          <w:rFonts w:ascii="STZhongsong" w:eastAsia="STZhongsong" w:hAnsi="STZhongsong"/>
          <w:color w:val="000000"/>
          <w:sz w:val="21"/>
        </w:rPr>
        <w:t>BPAI</w:t>
      </w:r>
      <w:r>
        <w:rPr>
          <w:rFonts w:ascii="STZhongsong" w:eastAsia="STZhongsong" w:hAnsi="STZhongsong"/>
          <w:color w:val="000000"/>
          <w:sz w:val="21"/>
        </w:rPr>
        <w:t>）在部分产品中扩大试运行范围</w:t>
      </w:r>
    </w:p>
    <w:p w14:paraId="5AB86209" w14:textId="77777777" w:rsidR="0091080F" w:rsidRDefault="00892D7D">
      <w:pPr>
        <w:pStyle w:val="21"/>
        <w:spacing w:before="240" w:after="120"/>
      </w:pPr>
      <w:bookmarkStart w:id="20" w:name="_Toc236359190"/>
      <w:r>
        <w:rPr>
          <w:rFonts w:ascii="SimHei" w:eastAsia="SimHei" w:hAnsi="SimHei"/>
        </w:rPr>
        <w:t xml:space="preserve">4.4  </w:t>
      </w:r>
      <w:r>
        <w:rPr>
          <w:rFonts w:ascii="SimHei" w:eastAsia="SimHei" w:hAnsi="SimHei"/>
        </w:rPr>
        <w:t>再保险市场动态</w:t>
      </w:r>
      <w:bookmarkEnd w:id="20"/>
    </w:p>
    <w:p w14:paraId="6E95D5F3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本季度再保险市场运行平稳，分保需求稳步释放，创新风险转移工具应用范围持续扩大。</w:t>
      </w:r>
    </w:p>
    <w:p w14:paraId="053DAD96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市场运行概况</w:t>
      </w:r>
    </w:p>
    <w:p w14:paraId="2A3912F5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分出保费规模约</w:t>
      </w:r>
      <w:r>
        <w:rPr>
          <w:color w:val="000000"/>
          <w:sz w:val="21"/>
        </w:rPr>
        <w:t>1,320</w:t>
      </w:r>
      <w:r>
        <w:rPr>
          <w:color w:val="000000"/>
          <w:sz w:val="21"/>
        </w:rPr>
        <w:t>亿元，同比扩张</w:t>
      </w:r>
      <w:r>
        <w:rPr>
          <w:color w:val="000000"/>
          <w:sz w:val="21"/>
        </w:rPr>
        <w:t>5.2%</w:t>
      </w:r>
    </w:p>
    <w:p w14:paraId="6A991512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再保险交易对手集中度进一步走低，多元化格局更加明显</w:t>
      </w:r>
    </w:p>
    <w:p w14:paraId="0DCA4C1A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巨灾再保险安排覆盖面持续拓宽</w:t>
      </w:r>
    </w:p>
    <w:p w14:paraId="24D63EE3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创新与挑战并存</w:t>
      </w:r>
    </w:p>
    <w:p w14:paraId="4A376235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巨灾债券发行规模同比扩张</w:t>
      </w:r>
      <w:r>
        <w:rPr>
          <w:color w:val="000000"/>
          <w:sz w:val="21"/>
        </w:rPr>
        <w:t>35%</w:t>
      </w:r>
      <w:r>
        <w:rPr>
          <w:color w:val="000000"/>
          <w:sz w:val="21"/>
        </w:rPr>
        <w:t>，风险分散渠道拓宽</w:t>
      </w:r>
    </w:p>
    <w:p w14:paraId="49BF59A1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再保险数字化交易平台建设取得阶段性突破</w:t>
      </w:r>
    </w:p>
    <w:p w14:paraId="4CDE4F2D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极端天气事件增多对巨灾风险管理体系构成新考验</w:t>
      </w:r>
    </w:p>
    <w:p w14:paraId="07905B73" w14:textId="77777777" w:rsidR="0091080F" w:rsidRDefault="00892D7D">
      <w:pPr>
        <w:pStyle w:val="21"/>
        <w:spacing w:before="240" w:after="120"/>
      </w:pPr>
      <w:bookmarkStart w:id="21" w:name="_Toc236359191"/>
      <w:r>
        <w:rPr>
          <w:rFonts w:ascii="SimHei" w:eastAsia="SimHei" w:hAnsi="SimHei"/>
        </w:rPr>
        <w:t xml:space="preserve">5.1  </w:t>
      </w:r>
      <w:r>
        <w:rPr>
          <w:rFonts w:ascii="SimHei" w:eastAsia="SimHei" w:hAnsi="SimHei"/>
        </w:rPr>
        <w:t>线下渠道</w:t>
      </w:r>
      <w:bookmarkEnd w:id="21"/>
    </w:p>
    <w:p w14:paraId="4811060C" w14:textId="77777777" w:rsidR="0091080F" w:rsidRDefault="00892D7D">
      <w:pPr>
        <w:spacing w:after="80" w:line="360" w:lineRule="auto"/>
        <w:ind w:firstLineChars="200" w:firstLine="560"/>
      </w:pPr>
      <w:r>
        <w:rPr>
          <w:color w:val="F79646"/>
        </w:rPr>
        <w:t>线下渠道仍是保险销售的主力，但份额持续收缩。三季度线下渠道保费占比</w:t>
      </w:r>
      <w:r>
        <w:rPr>
          <w:color w:val="F79646"/>
        </w:rPr>
        <w:t>72.8%</w:t>
      </w:r>
      <w:r>
        <w:rPr>
          <w:color w:val="F79646"/>
        </w:rPr>
        <w:t>，较二季度下降</w:t>
      </w:r>
      <w:r>
        <w:rPr>
          <w:color w:val="F79646"/>
        </w:rPr>
        <w:t>2.0</w:t>
      </w:r>
      <w:r>
        <w:rPr>
          <w:color w:val="F79646"/>
        </w:rPr>
        <w:t>个百分点。</w:t>
      </w:r>
    </w:p>
    <w:p w14:paraId="5021C7D6" w14:textId="77777777" w:rsidR="0091080F" w:rsidRDefault="00892D7D">
      <w:pPr>
        <w:pStyle w:val="31"/>
        <w:spacing w:before="240" w:after="120"/>
      </w:pPr>
      <w:bookmarkStart w:id="22" w:name="_Toc236359192"/>
      <w:r>
        <w:rPr>
          <w:rFonts w:ascii="SimHei" w:eastAsia="SimHei" w:hAnsi="SimHei"/>
        </w:rPr>
        <w:t xml:space="preserve">5.1.1  </w:t>
      </w:r>
      <w:r>
        <w:rPr>
          <w:rFonts w:ascii="SimHei" w:eastAsia="SimHei" w:hAnsi="SimHei"/>
        </w:rPr>
        <w:t>个险渠道分析</w:t>
      </w:r>
      <w:bookmarkEnd w:id="22"/>
    </w:p>
    <w:p w14:paraId="3AFC2F8A" w14:textId="77777777" w:rsidR="0091080F" w:rsidRDefault="00892D7D">
      <w:pPr>
        <w:spacing w:after="80" w:line="360" w:lineRule="auto"/>
        <w:ind w:firstLineChars="200" w:firstLine="560"/>
      </w:pPr>
      <w:r>
        <w:rPr>
          <w:color w:val="F79646"/>
        </w:rPr>
        <w:t>个险渠道本季度实现保费收入</w:t>
      </w:r>
      <w:r>
        <w:rPr>
          <w:color w:val="F79646"/>
        </w:rPr>
        <w:t>8,500</w:t>
      </w:r>
      <w:r>
        <w:rPr>
          <w:color w:val="F79646"/>
        </w:rPr>
        <w:t>亿元，同比增长</w:t>
      </w:r>
      <w:r>
        <w:rPr>
          <w:color w:val="F79646"/>
        </w:rPr>
        <w:t>3.8%</w:t>
      </w:r>
      <w:r>
        <w:rPr>
          <w:color w:val="F79646"/>
        </w:rPr>
        <w:t>，增速小幅回升。代理人队伍规模企稳，人均产能持续提升。</w:t>
      </w:r>
    </w:p>
    <w:p w14:paraId="77B88FF4" w14:textId="658EA4FB" w:rsidR="0091080F" w:rsidRDefault="00892D7D">
      <w:pPr>
        <w:spacing w:before="120" w:after="120" w:line="240" w:lineRule="auto"/>
        <w:jc w:val="center"/>
      </w:pPr>
      <w:r>
        <w:rPr>
          <w:sz w:val="20"/>
        </w:rPr>
        <w:t>表</w:t>
      </w:r>
      <w:r>
        <w:rPr>
          <w:sz w:val="20"/>
        </w:rPr>
        <w:t xml:space="preserve"> </w:t>
      </w:r>
      <w:bookmarkStart w:id="23" w:name="_Ref_表_2"/>
      <w:r>
        <w:fldChar w:fldCharType="begin"/>
      </w:r>
      <w:r>
        <w:instrText>SEQ Table \* ARABIC</w:instrText>
      </w:r>
      <w:r>
        <w:fldChar w:fldCharType="separate"/>
      </w:r>
      <w:r w:rsidR="004A38C7">
        <w:rPr>
          <w:noProof/>
        </w:rPr>
        <w:t>2</w:t>
      </w:r>
      <w:r>
        <w:rPr>
          <w:sz w:val="20"/>
          <w:szCs w:val="20"/>
        </w:rPr>
        <w:fldChar w:fldCharType="end"/>
      </w:r>
      <w:bookmarkEnd w:id="23"/>
      <w:r>
        <w:rPr>
          <w:sz w:val="20"/>
        </w:rPr>
        <w:t xml:space="preserve">  2026</w:t>
      </w:r>
      <w:r>
        <w:rPr>
          <w:sz w:val="20"/>
        </w:rPr>
        <w:t>年</w:t>
      </w:r>
      <w:r>
        <w:rPr>
          <w:sz w:val="20"/>
        </w:rPr>
        <w:t>Q3</w:t>
      </w:r>
      <w:r>
        <w:rPr>
          <w:sz w:val="20"/>
        </w:rPr>
        <w:t>各销售渠道保费占比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4"/>
        <w:gridCol w:w="2130"/>
        <w:gridCol w:w="2130"/>
        <w:gridCol w:w="2132"/>
      </w:tblGrid>
      <w:tr w:rsidR="00C41419" w:rsidRPr="004555A0" w14:paraId="322A985F" w14:textId="77777777" w:rsidTr="00C41419">
        <w:trPr>
          <w:tblHeader/>
        </w:trPr>
        <w:tc>
          <w:tcPr>
            <w:tcW w:w="2160" w:type="dxa"/>
            <w:shd w:val="clear" w:color="auto" w:fill="1F3864"/>
          </w:tcPr>
          <w:p w14:paraId="7E778723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b/>
                <w:color w:val="FFFFFF"/>
                <w:sz w:val="20"/>
              </w:rPr>
              <w:t>渠道类型</w:t>
            </w:r>
          </w:p>
        </w:tc>
        <w:tc>
          <w:tcPr>
            <w:tcW w:w="2160" w:type="dxa"/>
            <w:shd w:val="clear" w:color="auto" w:fill="1F3864"/>
          </w:tcPr>
          <w:p w14:paraId="4A884186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b/>
                <w:color w:val="FFFFFF"/>
                <w:sz w:val="20"/>
              </w:rPr>
              <w:t>保费收入</w:t>
            </w:r>
            <w:r w:rsidRPr="004555A0">
              <w:rPr>
                <w:b/>
                <w:color w:val="FFFFFF"/>
                <w:sz w:val="20"/>
              </w:rPr>
              <w:t>(</w:t>
            </w:r>
            <w:r w:rsidRPr="004555A0">
              <w:rPr>
                <w:b/>
                <w:color w:val="FFFFFF"/>
                <w:sz w:val="20"/>
              </w:rPr>
              <w:t>亿元</w:t>
            </w:r>
            <w:r w:rsidRPr="004555A0"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160" w:type="dxa"/>
            <w:shd w:val="clear" w:color="auto" w:fill="1F3864"/>
          </w:tcPr>
          <w:p w14:paraId="68469C9A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w="2160" w:type="dxa"/>
            <w:shd w:val="clear" w:color="auto" w:fill="1F3864"/>
          </w:tcPr>
          <w:p w14:paraId="77F2A180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b/>
                <w:color w:val="FFFFFF"/>
                <w:sz w:val="20"/>
              </w:rPr>
              <w:t>同比变化</w:t>
            </w:r>
          </w:p>
        </w:tc>
      </w:tr>
      <w:tr w:rsidR="00C41419" w:rsidRPr="004555A0" w14:paraId="1CDE8428" w14:textId="77777777" w:rsidTr="00C41419">
        <w:tc>
          <w:tcPr>
            <w:tcW w:w="2160" w:type="dxa"/>
          </w:tcPr>
          <w:p w14:paraId="27244B81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个险渠道</w:t>
            </w:r>
          </w:p>
        </w:tc>
        <w:tc>
          <w:tcPr>
            <w:tcW w:w="2160" w:type="dxa"/>
          </w:tcPr>
          <w:p w14:paraId="36716948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8,500</w:t>
            </w:r>
          </w:p>
        </w:tc>
        <w:tc>
          <w:tcPr>
            <w:tcW w:w="2160" w:type="dxa"/>
          </w:tcPr>
          <w:p w14:paraId="37E0CBB2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36.2%</w:t>
            </w:r>
          </w:p>
        </w:tc>
        <w:tc>
          <w:tcPr>
            <w:tcW w:w="2160" w:type="dxa"/>
          </w:tcPr>
          <w:p w14:paraId="45F32BA7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-1.4pp</w:t>
            </w:r>
          </w:p>
        </w:tc>
      </w:tr>
      <w:tr w:rsidR="00C41419" w:rsidRPr="004555A0" w14:paraId="321BAC8F" w14:textId="77777777" w:rsidTr="00C41419">
        <w:tc>
          <w:tcPr>
            <w:tcW w:w="2160" w:type="dxa"/>
            <w:shd w:val="clear" w:color="auto" w:fill="DCE6F2"/>
          </w:tcPr>
          <w:p w14:paraId="1F80A7E2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银保渠道</w:t>
            </w:r>
          </w:p>
        </w:tc>
        <w:tc>
          <w:tcPr>
            <w:tcW w:w="2160" w:type="dxa"/>
            <w:shd w:val="clear" w:color="auto" w:fill="DCE6F2"/>
          </w:tcPr>
          <w:p w14:paraId="25B5492B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6,900</w:t>
            </w:r>
          </w:p>
        </w:tc>
        <w:tc>
          <w:tcPr>
            <w:tcW w:w="2160" w:type="dxa"/>
            <w:shd w:val="clear" w:color="auto" w:fill="DCE6F2"/>
          </w:tcPr>
          <w:p w14:paraId="36C4B5B6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29.4%</w:t>
            </w:r>
          </w:p>
        </w:tc>
        <w:tc>
          <w:tcPr>
            <w:tcW w:w="2160" w:type="dxa"/>
            <w:shd w:val="clear" w:color="auto" w:fill="DCE6F2"/>
          </w:tcPr>
          <w:p w14:paraId="337BDEB6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+0.8pp</w:t>
            </w:r>
          </w:p>
        </w:tc>
      </w:tr>
      <w:tr w:rsidR="00C41419" w:rsidRPr="004555A0" w14:paraId="088D8B8B" w14:textId="77777777" w:rsidTr="00C41419">
        <w:tc>
          <w:tcPr>
            <w:tcW w:w="2160" w:type="dxa"/>
          </w:tcPr>
          <w:p w14:paraId="6AB7A584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互联网渠道</w:t>
            </w:r>
          </w:p>
        </w:tc>
        <w:tc>
          <w:tcPr>
            <w:tcW w:w="2160" w:type="dxa"/>
          </w:tcPr>
          <w:p w14:paraId="2255A24E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4,850</w:t>
            </w:r>
          </w:p>
        </w:tc>
        <w:tc>
          <w:tcPr>
            <w:tcW w:w="2160" w:type="dxa"/>
          </w:tcPr>
          <w:p w14:paraId="4A404CA6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20.6%</w:t>
            </w:r>
          </w:p>
        </w:tc>
        <w:tc>
          <w:tcPr>
            <w:tcW w:w="2160" w:type="dxa"/>
          </w:tcPr>
          <w:p w14:paraId="1FC94CA1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+2.5pp</w:t>
            </w:r>
          </w:p>
        </w:tc>
      </w:tr>
      <w:tr w:rsidR="00C41419" w:rsidRPr="004555A0" w14:paraId="0A682E3F" w14:textId="77777777" w:rsidTr="00C41419">
        <w:tc>
          <w:tcPr>
            <w:tcW w:w="2160" w:type="dxa"/>
            <w:shd w:val="clear" w:color="auto" w:fill="DCE6F2"/>
          </w:tcPr>
          <w:p w14:paraId="392EF8D0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专业代理</w:t>
            </w:r>
          </w:p>
        </w:tc>
        <w:tc>
          <w:tcPr>
            <w:tcW w:w="2160" w:type="dxa"/>
            <w:shd w:val="clear" w:color="auto" w:fill="DCE6F2"/>
          </w:tcPr>
          <w:p w14:paraId="5A0C0892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1,760</w:t>
            </w:r>
          </w:p>
        </w:tc>
        <w:tc>
          <w:tcPr>
            <w:tcW w:w="2160" w:type="dxa"/>
            <w:shd w:val="clear" w:color="auto" w:fill="DCE6F2"/>
          </w:tcPr>
          <w:p w14:paraId="1AB1AE0C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7.5%</w:t>
            </w:r>
          </w:p>
        </w:tc>
        <w:tc>
          <w:tcPr>
            <w:tcW w:w="2160" w:type="dxa"/>
            <w:shd w:val="clear" w:color="auto" w:fill="DCE6F2"/>
          </w:tcPr>
          <w:p w14:paraId="2D6EB024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-0.5pp</w:t>
            </w:r>
          </w:p>
        </w:tc>
      </w:tr>
      <w:tr w:rsidR="00C41419" w:rsidRPr="004555A0" w14:paraId="05659E69" w14:textId="77777777" w:rsidTr="00C41419">
        <w:tc>
          <w:tcPr>
            <w:tcW w:w="2160" w:type="dxa"/>
          </w:tcPr>
          <w:p w14:paraId="59C2E035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经纪渠道</w:t>
            </w:r>
          </w:p>
        </w:tc>
        <w:tc>
          <w:tcPr>
            <w:tcW w:w="2160" w:type="dxa"/>
          </w:tcPr>
          <w:p w14:paraId="2420295F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1,490</w:t>
            </w:r>
          </w:p>
        </w:tc>
        <w:tc>
          <w:tcPr>
            <w:tcW w:w="2160" w:type="dxa"/>
          </w:tcPr>
          <w:p w14:paraId="00DFEC5F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6.3%</w:t>
            </w:r>
          </w:p>
        </w:tc>
        <w:tc>
          <w:tcPr>
            <w:tcW w:w="2160" w:type="dxa"/>
          </w:tcPr>
          <w:p w14:paraId="297B973C" w14:textId="77777777" w:rsidR="00892D7D" w:rsidRPr="004555A0" w:rsidRDefault="00892D7D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+0.4pp</w:t>
            </w:r>
          </w:p>
        </w:tc>
      </w:tr>
    </w:tbl>
    <w:p w14:paraId="267AD74F" w14:textId="77777777" w:rsidR="0091080F" w:rsidRDefault="0091080F"/>
    <w:p w14:paraId="51A2B386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代理人队伍演变</w:t>
      </w:r>
    </w:p>
    <w:p w14:paraId="69CDF840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lastRenderedPageBreak/>
        <w:t>全行业个险代理人规模降至</w:t>
      </w:r>
      <w:r>
        <w:rPr>
          <w:color w:val="F79646"/>
          <w:sz w:val="21"/>
        </w:rPr>
        <w:t>278</w:t>
      </w:r>
      <w:r>
        <w:rPr>
          <w:color w:val="F79646"/>
          <w:sz w:val="21"/>
        </w:rPr>
        <w:t>万人，较年初减少</w:t>
      </w:r>
      <w:r>
        <w:rPr>
          <w:color w:val="F79646"/>
          <w:sz w:val="21"/>
        </w:rPr>
        <w:t>7</w:t>
      </w:r>
      <w:r>
        <w:rPr>
          <w:color w:val="F79646"/>
          <w:sz w:val="21"/>
        </w:rPr>
        <w:t>万人，降幅收窄</w:t>
      </w:r>
    </w:p>
    <w:p w14:paraId="1DB9AC3C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代理人月均产能提升至</w:t>
      </w:r>
      <w:r>
        <w:rPr>
          <w:color w:val="F79646"/>
          <w:sz w:val="21"/>
        </w:rPr>
        <w:t>9,200</w:t>
      </w:r>
      <w:r>
        <w:rPr>
          <w:color w:val="F79646"/>
          <w:sz w:val="21"/>
        </w:rPr>
        <w:t>元，同比增长</w:t>
      </w:r>
      <w:r>
        <w:rPr>
          <w:color w:val="F79646"/>
          <w:sz w:val="21"/>
        </w:rPr>
        <w:t>18%</w:t>
      </w:r>
    </w:p>
    <w:p w14:paraId="77112C5F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活跃代理人占比升至</w:t>
      </w:r>
      <w:r>
        <w:rPr>
          <w:color w:val="F79646"/>
          <w:sz w:val="21"/>
        </w:rPr>
        <w:t>65%</w:t>
      </w:r>
      <w:r>
        <w:rPr>
          <w:color w:val="F79646"/>
          <w:sz w:val="21"/>
        </w:rPr>
        <w:t>，队伍质态持续改善</w:t>
      </w:r>
    </w:p>
    <w:p w14:paraId="68E029A7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渠道转型方向</w:t>
      </w:r>
    </w:p>
    <w:p w14:paraId="7AAAD04B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优增优育策略深化推进，高产能代理人占比升至</w:t>
      </w:r>
      <w:r>
        <w:rPr>
          <w:color w:val="F79646"/>
          <w:sz w:val="21"/>
        </w:rPr>
        <w:t>25%</w:t>
      </w:r>
    </w:p>
    <w:p w14:paraId="0605CB48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独立代理人模式试点扩至</w:t>
      </w:r>
      <w:r>
        <w:rPr>
          <w:color w:val="F79646"/>
          <w:sz w:val="21"/>
        </w:rPr>
        <w:t>15</w:t>
      </w:r>
      <w:r>
        <w:rPr>
          <w:color w:val="F79646"/>
          <w:sz w:val="21"/>
        </w:rPr>
        <w:t>个城市</w:t>
      </w:r>
    </w:p>
    <w:p w14:paraId="27542A5A" w14:textId="77777777" w:rsidR="0091080F" w:rsidRDefault="00892D7D">
      <w:pPr>
        <w:pStyle w:val="a0"/>
        <w:spacing w:after="20" w:line="336" w:lineRule="auto"/>
      </w:pPr>
      <w:r>
        <w:rPr>
          <w:color w:val="F79646"/>
          <w:sz w:val="21"/>
        </w:rPr>
        <w:t>代理人数字化赋能系统覆盖率超过</w:t>
      </w:r>
      <w:r>
        <w:rPr>
          <w:color w:val="F79646"/>
          <w:sz w:val="21"/>
        </w:rPr>
        <w:t>85%</w:t>
      </w:r>
    </w:p>
    <w:p w14:paraId="62E98414" w14:textId="77777777" w:rsidR="0091080F" w:rsidRDefault="00892D7D">
      <w:pPr>
        <w:pStyle w:val="31"/>
        <w:spacing w:before="240" w:after="120"/>
      </w:pPr>
      <w:bookmarkStart w:id="24" w:name="_Toc236359193"/>
      <w:r>
        <w:rPr>
          <w:rFonts w:ascii="SimHei" w:eastAsia="SimHei" w:hAnsi="SimHei"/>
        </w:rPr>
        <w:t xml:space="preserve">5.1.2  </w:t>
      </w:r>
      <w:r>
        <w:rPr>
          <w:rFonts w:ascii="SimHei" w:eastAsia="SimHei" w:hAnsi="SimHei"/>
        </w:rPr>
        <w:t>银保渠道分析</w:t>
      </w:r>
      <w:bookmarkEnd w:id="24"/>
    </w:p>
    <w:p w14:paraId="337CD4C0" w14:textId="77777777" w:rsidR="0091080F" w:rsidRDefault="00892D7D">
      <w:pPr>
        <w:spacing w:after="80" w:line="360" w:lineRule="auto"/>
        <w:ind w:firstLineChars="200" w:firstLine="420"/>
      </w:pPr>
      <w:r>
        <w:rPr>
          <w:rFonts w:ascii="Microsoft YaHei" w:eastAsia="Microsoft YaHei" w:hAnsi="Microsoft YaHei"/>
          <w:color w:val="000000"/>
          <w:sz w:val="21"/>
        </w:rPr>
        <w:t>银保渠道本季度延续亮眼表现，实现保费收入</w:t>
      </w:r>
      <w:r>
        <w:rPr>
          <w:rFonts w:ascii="Microsoft YaHei" w:eastAsia="Microsoft YaHei" w:hAnsi="Microsoft YaHei"/>
          <w:color w:val="000000"/>
          <w:sz w:val="21"/>
        </w:rPr>
        <w:t>6,900</w:t>
      </w:r>
      <w:r>
        <w:rPr>
          <w:rFonts w:ascii="Microsoft YaHei" w:eastAsia="Microsoft YaHei" w:hAnsi="Microsoft YaHei"/>
          <w:color w:val="000000"/>
          <w:sz w:val="21"/>
        </w:rPr>
        <w:t>亿元，同比增长</w:t>
      </w:r>
      <w:r>
        <w:rPr>
          <w:rFonts w:ascii="Microsoft YaHei" w:eastAsia="Microsoft YaHei" w:hAnsi="Microsoft YaHei"/>
          <w:color w:val="000000"/>
          <w:sz w:val="21"/>
        </w:rPr>
        <w:t>9.8%</w:t>
      </w:r>
      <w:r>
        <w:rPr>
          <w:rFonts w:ascii="Microsoft YaHei" w:eastAsia="Microsoft YaHei" w:hAnsi="Microsoft YaHei"/>
          <w:color w:val="000000"/>
          <w:sz w:val="21"/>
        </w:rPr>
        <w:t>，增速继续领跑各渠道。</w:t>
      </w:r>
    </w:p>
    <w:p w14:paraId="56FA894A" w14:textId="77777777" w:rsidR="0091080F" w:rsidRDefault="00892D7D">
      <w:pPr>
        <w:spacing w:before="120" w:after="40" w:line="360" w:lineRule="auto"/>
        <w:ind w:firstLineChars="200" w:firstLine="420"/>
      </w:pPr>
      <w:r>
        <w:rPr>
          <w:rFonts w:ascii="Microsoft YaHei" w:eastAsia="Microsoft YaHei" w:hAnsi="Microsoft YaHei"/>
          <w:b/>
          <w:color w:val="000000"/>
          <w:sz w:val="21"/>
        </w:rPr>
        <w:t>渠道发展特征</w:t>
      </w:r>
    </w:p>
    <w:p w14:paraId="6471B6EB" w14:textId="77777777" w:rsidR="0091080F" w:rsidRDefault="00892D7D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长期期交产品占比升至</w:t>
      </w:r>
      <w:r>
        <w:rPr>
          <w:rFonts w:ascii="Microsoft YaHei" w:eastAsia="Microsoft YaHei" w:hAnsi="Microsoft YaHei"/>
          <w:color w:val="000000"/>
          <w:sz w:val="21"/>
        </w:rPr>
        <w:t>48%</w:t>
      </w:r>
      <w:r>
        <w:rPr>
          <w:rFonts w:ascii="Microsoft YaHei" w:eastAsia="Microsoft YaHei" w:hAnsi="Microsoft YaHei"/>
          <w:color w:val="000000"/>
          <w:sz w:val="21"/>
        </w:rPr>
        <w:t>，业务质量持续改善</w:t>
      </w:r>
    </w:p>
    <w:p w14:paraId="798349CE" w14:textId="77777777" w:rsidR="0091080F" w:rsidRDefault="00892D7D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存量客户经营深化，老客户加保率升至</w:t>
      </w:r>
      <w:r>
        <w:rPr>
          <w:rFonts w:ascii="Microsoft YaHei" w:eastAsia="Microsoft YaHei" w:hAnsi="Microsoft YaHei"/>
          <w:color w:val="000000"/>
          <w:sz w:val="21"/>
        </w:rPr>
        <w:t>30%</w:t>
      </w:r>
    </w:p>
    <w:p w14:paraId="3CB36E61" w14:textId="77777777" w:rsidR="0091080F" w:rsidRDefault="00892D7D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银行网点保险销售专业化程度持续提升</w:t>
      </w:r>
    </w:p>
    <w:p w14:paraId="4A9E5388" w14:textId="77777777" w:rsidR="0091080F" w:rsidRDefault="00892D7D">
      <w:pPr>
        <w:spacing w:before="120" w:after="40" w:line="360" w:lineRule="auto"/>
        <w:ind w:firstLineChars="200" w:firstLine="420"/>
      </w:pPr>
      <w:r>
        <w:rPr>
          <w:rFonts w:ascii="Microsoft YaHei" w:eastAsia="Microsoft YaHei" w:hAnsi="Microsoft YaHei"/>
          <w:b/>
          <w:color w:val="000000"/>
          <w:sz w:val="21"/>
        </w:rPr>
        <w:t>合作模式创新</w:t>
      </w:r>
    </w:p>
    <w:p w14:paraId="36F76F82" w14:textId="77777777" w:rsidR="0091080F" w:rsidRDefault="00892D7D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「网点</w:t>
      </w:r>
      <w:r>
        <w:rPr>
          <w:rFonts w:ascii="Microsoft YaHei" w:eastAsia="Microsoft YaHei" w:hAnsi="Microsoft YaHei"/>
          <w:color w:val="000000"/>
          <w:sz w:val="21"/>
        </w:rPr>
        <w:t>+APP</w:t>
      </w:r>
      <w:r>
        <w:rPr>
          <w:rFonts w:ascii="Microsoft YaHei" w:eastAsia="Microsoft YaHei" w:hAnsi="Microsoft YaHei"/>
          <w:color w:val="000000"/>
          <w:sz w:val="21"/>
        </w:rPr>
        <w:t>」双线融合模式全面推广</w:t>
      </w:r>
    </w:p>
    <w:p w14:paraId="4D7DA5AB" w14:textId="77777777" w:rsidR="0091080F" w:rsidRDefault="00892D7D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银行系险企协同效应持续显现，保费增速高于行业均值</w:t>
      </w:r>
    </w:p>
    <w:p w14:paraId="684969FC" w14:textId="77777777" w:rsidR="0091080F" w:rsidRDefault="00892D7D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财富管理与保险保障深度融合，高端客户专属产品线丰富</w:t>
      </w:r>
    </w:p>
    <w:p w14:paraId="6373D2B8" w14:textId="77777777" w:rsidR="0091080F" w:rsidRDefault="00892D7D">
      <w:pPr>
        <w:pStyle w:val="21"/>
        <w:spacing w:before="240" w:after="120"/>
      </w:pPr>
      <w:bookmarkStart w:id="25" w:name="_Toc236359194"/>
      <w:r>
        <w:rPr>
          <w:rFonts w:ascii="SimHei" w:eastAsia="SimHei" w:hAnsi="SimHei"/>
        </w:rPr>
        <w:t xml:space="preserve">5.2  </w:t>
      </w:r>
      <w:r>
        <w:rPr>
          <w:rFonts w:ascii="SimHei" w:eastAsia="SimHei" w:hAnsi="SimHei"/>
        </w:rPr>
        <w:t>线上渠道</w:t>
      </w:r>
      <w:bookmarkEnd w:id="25"/>
    </w:p>
    <w:p w14:paraId="6D67C571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线上渠道保持高速扩张，数字化转型进入收获期。三季度线上渠道保费占比首次突破</w:t>
      </w:r>
      <w:r>
        <w:rPr>
          <w:color w:val="000000"/>
        </w:rPr>
        <w:t>22%</w:t>
      </w:r>
      <w:r>
        <w:rPr>
          <w:color w:val="000000"/>
        </w:rPr>
        <w:t>，达</w:t>
      </w:r>
      <w:r>
        <w:rPr>
          <w:color w:val="000000"/>
        </w:rPr>
        <w:t>22.5%</w:t>
      </w:r>
      <w:r>
        <w:rPr>
          <w:color w:val="000000"/>
        </w:rPr>
        <w:t>，成为行业增长的关键引擎。</w:t>
      </w:r>
    </w:p>
    <w:p w14:paraId="410E6FC5" w14:textId="77777777" w:rsidR="0091080F" w:rsidRDefault="00892D7D">
      <w:pPr>
        <w:pStyle w:val="31"/>
        <w:spacing w:before="240" w:after="120"/>
      </w:pPr>
      <w:bookmarkStart w:id="26" w:name="_Toc236359195"/>
      <w:r>
        <w:rPr>
          <w:rFonts w:ascii="SimHei" w:eastAsia="SimHei" w:hAnsi="SimHei"/>
        </w:rPr>
        <w:t xml:space="preserve">5.2.1  </w:t>
      </w:r>
      <w:r>
        <w:rPr>
          <w:rFonts w:ascii="SimHei" w:eastAsia="SimHei" w:hAnsi="SimHei"/>
        </w:rPr>
        <w:t>互联网保险平台</w:t>
      </w:r>
      <w:bookmarkEnd w:id="26"/>
    </w:p>
    <w:p w14:paraId="61E2ABCF" w14:textId="77777777" w:rsidR="0091080F" w:rsidRDefault="00892D7D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t>互联网保险本季度实现保费收入</w:t>
      </w:r>
      <w:r>
        <w:rPr>
          <w:rFonts w:ascii="STZhongsong" w:eastAsia="STZhongsong" w:hAnsi="STZhongsong"/>
          <w:color w:val="000000"/>
        </w:rPr>
        <w:t>4,850</w:t>
      </w:r>
      <w:r>
        <w:rPr>
          <w:rFonts w:ascii="STZhongsong" w:eastAsia="STZhongsong" w:hAnsi="STZhongsong"/>
          <w:color w:val="000000"/>
        </w:rPr>
        <w:t>亿元，同比增长</w:t>
      </w:r>
      <w:r>
        <w:rPr>
          <w:rFonts w:ascii="STZhongsong" w:eastAsia="STZhongsong" w:hAnsi="STZhongsong"/>
          <w:color w:val="000000"/>
        </w:rPr>
        <w:t>19.2%</w:t>
      </w:r>
      <w:r>
        <w:rPr>
          <w:rFonts w:ascii="STZhongsong" w:eastAsia="STZhongsong" w:hAnsi="STZhongsong"/>
          <w:color w:val="000000"/>
        </w:rPr>
        <w:t>，增速远超行业均值。</w:t>
      </w:r>
    </w:p>
    <w:p w14:paraId="4FE61CD5" w14:textId="77777777" w:rsidR="00892D7D" w:rsidRPr="00FC6F26" w:rsidRDefault="00892D7D">
      <w:pPr>
        <w:jc w:val="center"/>
        <w:rPr>
          <w:rFonts w:ascii="STZhongsong" w:eastAsia="STZhongsong" w:hAnsi="STZhongsong"/>
        </w:rPr>
      </w:pPr>
      <w:r w:rsidRPr="00FC6F26">
        <w:rPr>
          <w:rFonts w:ascii="STZhongsong" w:eastAsia="STZhongsong" w:hAnsi="STZhongsong"/>
          <w:noProof/>
        </w:rPr>
        <w:lastRenderedPageBreak/>
        <w:drawing>
          <wp:inline distT="0" distB="0" distL="0" distR="0" wp14:anchorId="5198F545" wp14:editId="74063340">
            <wp:extent cx="4754880" cy="28184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渠道变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0227" w14:textId="13159D6F" w:rsidR="0091080F" w:rsidRDefault="00892D7D">
      <w:pPr>
        <w:spacing w:before="120" w:after="120" w:line="240" w:lineRule="auto"/>
        <w:jc w:val="center"/>
      </w:pPr>
      <w:r>
        <w:rPr>
          <w:sz w:val="20"/>
        </w:rPr>
        <w:t>图</w:t>
      </w:r>
      <w:r>
        <w:rPr>
          <w:sz w:val="20"/>
        </w:rPr>
        <w:t xml:space="preserve"> </w:t>
      </w:r>
      <w:bookmarkStart w:id="27" w:name="_Ref_图_3"/>
      <w:r>
        <w:fldChar w:fldCharType="begin"/>
      </w:r>
      <w:r>
        <w:instrText>SEQ Figure \* ARABIC</w:instrText>
      </w:r>
      <w:r>
        <w:fldChar w:fldCharType="separate"/>
      </w:r>
      <w:r w:rsidR="004A38C7">
        <w:rPr>
          <w:noProof/>
        </w:rPr>
        <w:t>3</w:t>
      </w:r>
      <w:r>
        <w:rPr>
          <w:sz w:val="20"/>
          <w:szCs w:val="20"/>
        </w:rPr>
        <w:fldChar w:fldCharType="end"/>
      </w:r>
      <w:bookmarkEnd w:id="27"/>
      <w:r>
        <w:rPr>
          <w:sz w:val="20"/>
        </w:rPr>
        <w:t xml:space="preserve">  2024-2026</w:t>
      </w:r>
      <w:r>
        <w:rPr>
          <w:sz w:val="20"/>
        </w:rPr>
        <w:t>年各销售渠道保费占比变化</w:t>
      </w:r>
    </w:p>
    <w:p w14:paraId="247865CA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平台竞争格局</w:t>
      </w:r>
    </w:p>
    <w:p w14:paraId="39E5C522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头部互联网保险平台集中度提升，</w:t>
      </w:r>
      <w:r>
        <w:rPr>
          <w:rFonts w:ascii="STZhongsong" w:eastAsia="STZhongsong" w:hAnsi="STZhongsong"/>
          <w:color w:val="000000"/>
          <w:sz w:val="21"/>
        </w:rPr>
        <w:t>CR3</w:t>
      </w:r>
      <w:r>
        <w:rPr>
          <w:rFonts w:ascii="STZhongsong" w:eastAsia="STZhongsong" w:hAnsi="STZhongsong"/>
          <w:color w:val="000000"/>
          <w:sz w:val="21"/>
        </w:rPr>
        <w:t>占比达</w:t>
      </w:r>
      <w:r>
        <w:rPr>
          <w:rFonts w:ascii="STZhongsong" w:eastAsia="STZhongsong" w:hAnsi="STZhongsong"/>
          <w:color w:val="000000"/>
          <w:sz w:val="21"/>
        </w:rPr>
        <w:t>57%</w:t>
      </w:r>
    </w:p>
    <w:p w14:paraId="3EC87F85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险企自营平台建设投入加码，直销能力持续增强</w:t>
      </w:r>
    </w:p>
    <w:p w14:paraId="2CD0E6D0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短视频与直播渠道成为重要获客入口，贡献度持续提升</w:t>
      </w:r>
    </w:p>
    <w:p w14:paraId="653376B4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产品特征</w:t>
      </w:r>
    </w:p>
    <w:p w14:paraId="025DB9A0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以短险产品为主，件均保费约</w:t>
      </w:r>
      <w:r>
        <w:rPr>
          <w:rFonts w:ascii="STZhongsong" w:eastAsia="STZhongsong" w:hAnsi="STZhongsong"/>
          <w:color w:val="000000"/>
          <w:sz w:val="21"/>
        </w:rPr>
        <w:t>380</w:t>
      </w:r>
      <w:r>
        <w:rPr>
          <w:rFonts w:ascii="STZhongsong" w:eastAsia="STZhongsong" w:hAnsi="STZhongsong"/>
          <w:color w:val="000000"/>
          <w:sz w:val="21"/>
        </w:rPr>
        <w:t>元</w:t>
      </w:r>
    </w:p>
    <w:p w14:paraId="60A6E79F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健康险与意外险合计占比超</w:t>
      </w:r>
      <w:r>
        <w:rPr>
          <w:rFonts w:ascii="STZhongsong" w:eastAsia="STZhongsong" w:hAnsi="STZhongsong"/>
          <w:color w:val="000000"/>
          <w:sz w:val="21"/>
        </w:rPr>
        <w:t>72%</w:t>
      </w:r>
    </w:p>
    <w:p w14:paraId="7E1096F4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长期险产品线上化率升至</w:t>
      </w:r>
      <w:r>
        <w:rPr>
          <w:rFonts w:ascii="STZhongsong" w:eastAsia="STZhongsong" w:hAnsi="STZhongsong"/>
          <w:color w:val="000000"/>
          <w:sz w:val="21"/>
        </w:rPr>
        <w:t>9.5%</w:t>
      </w:r>
      <w:r>
        <w:rPr>
          <w:rFonts w:ascii="STZhongsong" w:eastAsia="STZhongsong" w:hAnsi="STZhongsong"/>
          <w:color w:val="000000"/>
          <w:sz w:val="21"/>
        </w:rPr>
        <w:t>，仍有较大提升空间</w:t>
      </w:r>
    </w:p>
    <w:p w14:paraId="5D7BF777" w14:textId="77777777" w:rsidR="0091080F" w:rsidRDefault="00892D7D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技术驱动</w:t>
      </w:r>
    </w:p>
    <w:p w14:paraId="77D16E90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智能核保覆盖率突破</w:t>
      </w:r>
      <w:r>
        <w:rPr>
          <w:rFonts w:ascii="STZhongsong" w:eastAsia="STZhongsong" w:hAnsi="STZhongsong"/>
          <w:color w:val="000000"/>
          <w:sz w:val="21"/>
        </w:rPr>
        <w:t>92%</w:t>
      </w:r>
      <w:r>
        <w:rPr>
          <w:rFonts w:ascii="STZhongsong" w:eastAsia="STZhongsong" w:hAnsi="STZhongsong"/>
          <w:color w:val="000000"/>
          <w:sz w:val="21"/>
        </w:rPr>
        <w:t>，秒级出单已成为行业标配</w:t>
      </w:r>
    </w:p>
    <w:p w14:paraId="388B7E74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AI</w:t>
      </w:r>
      <w:r>
        <w:rPr>
          <w:rFonts w:ascii="STZhongsong" w:eastAsia="STZhongsong" w:hAnsi="STZhongsong"/>
          <w:color w:val="000000"/>
          <w:sz w:val="21"/>
        </w:rPr>
        <w:t>智能客服承接逾</w:t>
      </w:r>
      <w:r>
        <w:rPr>
          <w:rFonts w:ascii="STZhongsong" w:eastAsia="STZhongsong" w:hAnsi="STZhongsong"/>
          <w:color w:val="000000"/>
          <w:sz w:val="21"/>
        </w:rPr>
        <w:t>85%</w:t>
      </w:r>
      <w:r>
        <w:rPr>
          <w:rFonts w:ascii="STZhongsong" w:eastAsia="STZhongsong" w:hAnsi="STZhongsong"/>
          <w:color w:val="000000"/>
          <w:sz w:val="21"/>
        </w:rPr>
        <w:t>的在线咨询量</w:t>
      </w:r>
    </w:p>
    <w:p w14:paraId="5A7EF098" w14:textId="77777777" w:rsidR="0091080F" w:rsidRDefault="00892D7D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电子保单渗透率达</w:t>
      </w:r>
      <w:r>
        <w:rPr>
          <w:rFonts w:ascii="STZhongsong" w:eastAsia="STZhongsong" w:hAnsi="STZhongsong"/>
          <w:color w:val="000000"/>
          <w:sz w:val="21"/>
        </w:rPr>
        <w:t>96%</w:t>
      </w:r>
      <w:r>
        <w:rPr>
          <w:rFonts w:ascii="STZhongsong" w:eastAsia="STZhongsong" w:hAnsi="STZhongsong"/>
          <w:color w:val="000000"/>
          <w:sz w:val="21"/>
        </w:rPr>
        <w:t>以上，无纸化进程加快</w:t>
      </w:r>
    </w:p>
    <w:p w14:paraId="52E0E9DC" w14:textId="77777777" w:rsidR="0091080F" w:rsidRDefault="00892D7D">
      <w:pPr>
        <w:pStyle w:val="21"/>
        <w:spacing w:before="240" w:after="120"/>
      </w:pPr>
      <w:bookmarkStart w:id="28" w:name="_Toc236359196"/>
      <w:r>
        <w:rPr>
          <w:rFonts w:ascii="SimHei" w:eastAsia="SimHei" w:hAnsi="SimHei"/>
        </w:rPr>
        <w:t xml:space="preserve">6.1  </w:t>
      </w:r>
      <w:r>
        <w:rPr>
          <w:rFonts w:ascii="SimHei" w:eastAsia="SimHei" w:hAnsi="SimHei"/>
        </w:rPr>
        <w:t>风险评估体系</w:t>
      </w:r>
      <w:bookmarkEnd w:id="28"/>
    </w:p>
    <w:p w14:paraId="19787351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三季度行业风险管理能力持续提升，偿付能力总体充足，风险防线进一步筑牢。</w:t>
      </w:r>
    </w:p>
    <w:p w14:paraId="3CECAE76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lastRenderedPageBreak/>
        <w:t>偿付能力水平</w:t>
      </w:r>
    </w:p>
    <w:p w14:paraId="5EEDBC02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行业平均综合偿付能力充足率</w:t>
      </w:r>
      <w:r>
        <w:rPr>
          <w:color w:val="000000"/>
          <w:sz w:val="21"/>
        </w:rPr>
        <w:t>194%</w:t>
      </w:r>
      <w:r>
        <w:rPr>
          <w:color w:val="000000"/>
          <w:sz w:val="21"/>
        </w:rPr>
        <w:t>，较二季度下降</w:t>
      </w:r>
      <w:r>
        <w:rPr>
          <w:color w:val="000000"/>
          <w:sz w:val="21"/>
        </w:rPr>
        <w:t>2</w:t>
      </w:r>
      <w:r>
        <w:rPr>
          <w:color w:val="000000"/>
          <w:sz w:val="21"/>
        </w:rPr>
        <w:t>个百分点</w:t>
      </w:r>
    </w:p>
    <w:p w14:paraId="61527C14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人身险公司平均核心偿付能力充足率</w:t>
      </w:r>
      <w:r>
        <w:rPr>
          <w:color w:val="000000"/>
          <w:sz w:val="21"/>
        </w:rPr>
        <w:t>115%</w:t>
      </w:r>
    </w:p>
    <w:p w14:paraId="346F05ED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财产险公司平均综合偿付能力充足率</w:t>
      </w:r>
      <w:r>
        <w:rPr>
          <w:color w:val="000000"/>
          <w:sz w:val="21"/>
        </w:rPr>
        <w:t>238%</w:t>
      </w:r>
    </w:p>
    <w:p w14:paraId="224315D6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风控能力建设</w:t>
      </w:r>
    </w:p>
    <w:p w14:paraId="02A98A30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偿二代二期工程规则修订持续推进，穿透式监管要求深化</w:t>
      </w:r>
    </w:p>
    <w:p w14:paraId="3D2705F1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资产负债管理能力评估结果纳入分类监管体系</w:t>
      </w:r>
    </w:p>
    <w:p w14:paraId="1D1BB25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流动性风险监测指标体系进一步完善</w:t>
      </w:r>
    </w:p>
    <w:p w14:paraId="4A967306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压力测试结果</w:t>
      </w:r>
    </w:p>
    <w:p w14:paraId="08C793D6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利率下行</w:t>
      </w:r>
      <w:r>
        <w:rPr>
          <w:color w:val="000000"/>
          <w:sz w:val="21"/>
        </w:rPr>
        <w:t>100BP</w:t>
      </w:r>
      <w:r>
        <w:rPr>
          <w:color w:val="000000"/>
          <w:sz w:val="21"/>
        </w:rPr>
        <w:t>情景下，约</w:t>
      </w:r>
      <w:r>
        <w:rPr>
          <w:color w:val="000000"/>
          <w:sz w:val="21"/>
        </w:rPr>
        <w:t>12%</w:t>
      </w:r>
      <w:r>
        <w:rPr>
          <w:color w:val="000000"/>
          <w:sz w:val="21"/>
        </w:rPr>
        <w:t>的人身险公司面临利差损，较二季度有所改善</w:t>
      </w:r>
    </w:p>
    <w:p w14:paraId="6B7F265F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权益市场下跌</w:t>
      </w:r>
      <w:r>
        <w:rPr>
          <w:color w:val="000000"/>
          <w:sz w:val="21"/>
        </w:rPr>
        <w:t>20%</w:t>
      </w:r>
      <w:r>
        <w:rPr>
          <w:color w:val="000000"/>
          <w:sz w:val="21"/>
        </w:rPr>
        <w:t>情景下，行业偿付能力回落约</w:t>
      </w:r>
      <w:r>
        <w:rPr>
          <w:color w:val="000000"/>
          <w:sz w:val="21"/>
        </w:rPr>
        <w:t>7</w:t>
      </w:r>
      <w:r>
        <w:rPr>
          <w:color w:val="000000"/>
          <w:sz w:val="21"/>
        </w:rPr>
        <w:t>个百分点</w:t>
      </w:r>
    </w:p>
    <w:p w14:paraId="07EFFC1B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巨灾情景测试已覆盖所有经营巨灾险种的机构</w:t>
      </w:r>
    </w:p>
    <w:p w14:paraId="1CA75960" w14:textId="77777777" w:rsidR="0091080F" w:rsidRDefault="00892D7D">
      <w:pPr>
        <w:pStyle w:val="21"/>
        <w:spacing w:before="240" w:after="120"/>
      </w:pPr>
      <w:bookmarkStart w:id="29" w:name="_Toc236359197"/>
      <w:r>
        <w:rPr>
          <w:rFonts w:ascii="SimHei" w:eastAsia="SimHei" w:hAnsi="SimHei"/>
        </w:rPr>
        <w:t xml:space="preserve">6.2  </w:t>
      </w:r>
      <w:r>
        <w:rPr>
          <w:rFonts w:ascii="SimHei" w:eastAsia="SimHei" w:hAnsi="SimHei"/>
        </w:rPr>
        <w:t>理赔服务效率</w:t>
      </w:r>
      <w:bookmarkEnd w:id="29"/>
    </w:p>
    <w:p w14:paraId="5B1C68E0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理赔服务质量与效率持续提升，客户体验改善明显。科技赋能推动理赔流程智能化升级。</w:t>
      </w:r>
    </w:p>
    <w:p w14:paraId="6BF051A2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理赔时效指标</w:t>
      </w:r>
    </w:p>
    <w:p w14:paraId="7D78A225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案均理赔周期缩短至</w:t>
      </w:r>
      <w:r>
        <w:rPr>
          <w:color w:val="000000"/>
          <w:sz w:val="21"/>
        </w:rPr>
        <w:t>2.5</w:t>
      </w:r>
      <w:r>
        <w:rPr>
          <w:color w:val="000000"/>
          <w:sz w:val="21"/>
        </w:rPr>
        <w:t>天，同比缩短</w:t>
      </w:r>
      <w:r>
        <w:rPr>
          <w:color w:val="000000"/>
          <w:sz w:val="21"/>
        </w:rPr>
        <w:t>0.6</w:t>
      </w:r>
      <w:r>
        <w:rPr>
          <w:color w:val="000000"/>
          <w:sz w:val="21"/>
        </w:rPr>
        <w:t>天</w:t>
      </w:r>
    </w:p>
    <w:p w14:paraId="17F14DAB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小额案件秒赔覆盖率升至</w:t>
      </w:r>
      <w:r>
        <w:rPr>
          <w:color w:val="000000"/>
          <w:sz w:val="21"/>
        </w:rPr>
        <w:t>42%</w:t>
      </w:r>
    </w:p>
    <w:p w14:paraId="1F3D6613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理赔线上化率达</w:t>
      </w:r>
      <w:r>
        <w:rPr>
          <w:color w:val="000000"/>
          <w:sz w:val="21"/>
        </w:rPr>
        <w:t>82%</w:t>
      </w:r>
    </w:p>
    <w:p w14:paraId="1181AF49" w14:textId="77777777" w:rsidR="00892D7D" w:rsidRDefault="00892D7D">
      <w:pPr>
        <w:jc w:val="center"/>
      </w:pPr>
      <w:r>
        <w:rPr>
          <w:noProof/>
        </w:rPr>
        <w:lastRenderedPageBreak/>
        <w:drawing>
          <wp:inline distT="0" distB="0" distL="0" distR="0" wp14:anchorId="65B63B52" wp14:editId="1B0EB0E7">
            <wp:extent cx="4754880" cy="2648288"/>
            <wp:effectExtent l="0" t="0" r="0" b="0"/>
            <wp:docPr id="17676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理赔时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48D4" w14:textId="22A73BD7" w:rsidR="0091080F" w:rsidRDefault="00892D7D">
      <w:pPr>
        <w:spacing w:before="120" w:after="120" w:line="240" w:lineRule="auto"/>
        <w:jc w:val="center"/>
      </w:pPr>
      <w:r>
        <w:rPr>
          <w:sz w:val="20"/>
        </w:rPr>
        <w:t>图</w:t>
      </w:r>
      <w:r>
        <w:rPr>
          <w:sz w:val="20"/>
        </w:rPr>
        <w:t xml:space="preserve"> </w:t>
      </w:r>
      <w:bookmarkStart w:id="30" w:name="_Ref_图_4"/>
      <w:r>
        <w:fldChar w:fldCharType="begin"/>
      </w:r>
      <w:r>
        <w:instrText>SEQ Figure \* ARABIC</w:instrText>
      </w:r>
      <w:r>
        <w:fldChar w:fldCharType="separate"/>
      </w:r>
      <w:r w:rsidR="004A38C7">
        <w:rPr>
          <w:noProof/>
        </w:rPr>
        <w:t>4</w:t>
      </w:r>
      <w:r>
        <w:rPr>
          <w:sz w:val="20"/>
          <w:szCs w:val="20"/>
        </w:rPr>
        <w:fldChar w:fldCharType="end"/>
      </w:r>
      <w:bookmarkEnd w:id="30"/>
      <w:r>
        <w:rPr>
          <w:sz w:val="20"/>
        </w:rPr>
        <w:t xml:space="preserve">  2024-2026</w:t>
      </w:r>
      <w:r>
        <w:rPr>
          <w:sz w:val="20"/>
        </w:rPr>
        <w:t>年理赔时效对比</w:t>
      </w:r>
    </w:p>
    <w:p w14:paraId="05ACC788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服务创新举措</w:t>
      </w:r>
    </w:p>
    <w:p w14:paraId="506F7011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「闪赔」服务扩面，</w:t>
      </w:r>
      <w:r>
        <w:rPr>
          <w:color w:val="000000"/>
          <w:sz w:val="21"/>
        </w:rPr>
        <w:t>6,000</w:t>
      </w:r>
      <w:r>
        <w:rPr>
          <w:color w:val="000000"/>
          <w:sz w:val="21"/>
        </w:rPr>
        <w:t>元以下案件</w:t>
      </w:r>
      <w:r>
        <w:rPr>
          <w:color w:val="000000"/>
          <w:sz w:val="21"/>
        </w:rPr>
        <w:t>1</w:t>
      </w:r>
      <w:r>
        <w:rPr>
          <w:color w:val="000000"/>
          <w:sz w:val="21"/>
        </w:rPr>
        <w:t>小时内完成赔付</w:t>
      </w:r>
    </w:p>
    <w:p w14:paraId="5E2B16D6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医疗险理赔医院直连直付试点扩至</w:t>
      </w:r>
      <w:r>
        <w:rPr>
          <w:color w:val="000000"/>
          <w:sz w:val="21"/>
        </w:rPr>
        <w:t>280</w:t>
      </w:r>
      <w:r>
        <w:rPr>
          <w:color w:val="000000"/>
          <w:sz w:val="21"/>
        </w:rPr>
        <w:t>家医院</w:t>
      </w:r>
    </w:p>
    <w:p w14:paraId="361807B4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理赔智能审核系统准确率达到</w:t>
      </w:r>
      <w:r>
        <w:rPr>
          <w:color w:val="000000"/>
          <w:sz w:val="21"/>
        </w:rPr>
        <w:t>94%</w:t>
      </w:r>
    </w:p>
    <w:p w14:paraId="52EC56D0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客户体验</w:t>
      </w:r>
    </w:p>
    <w:p w14:paraId="4FCB3BE8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理赔客户满意度评分</w:t>
      </w:r>
      <w:r>
        <w:rPr>
          <w:color w:val="000000"/>
          <w:sz w:val="21"/>
        </w:rPr>
        <w:t>88.2</w:t>
      </w:r>
      <w:r>
        <w:rPr>
          <w:color w:val="000000"/>
          <w:sz w:val="21"/>
        </w:rPr>
        <w:t>分（满分</w:t>
      </w:r>
      <w:r>
        <w:rPr>
          <w:color w:val="000000"/>
          <w:sz w:val="21"/>
        </w:rPr>
        <w:t>100</w:t>
      </w:r>
      <w:r>
        <w:rPr>
          <w:color w:val="000000"/>
          <w:sz w:val="21"/>
        </w:rPr>
        <w:t>），同比提升</w:t>
      </w:r>
      <w:r>
        <w:rPr>
          <w:color w:val="000000"/>
          <w:sz w:val="21"/>
        </w:rPr>
        <w:t>2.8</w:t>
      </w:r>
      <w:r>
        <w:rPr>
          <w:color w:val="000000"/>
          <w:sz w:val="21"/>
        </w:rPr>
        <w:t>分</w:t>
      </w:r>
    </w:p>
    <w:p w14:paraId="42C62506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投诉率降至万分之</w:t>
      </w:r>
      <w:r>
        <w:rPr>
          <w:color w:val="000000"/>
          <w:sz w:val="21"/>
        </w:rPr>
        <w:t>2.8</w:t>
      </w:r>
    </w:p>
    <w:p w14:paraId="468726A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重复购买率升至</w:t>
      </w:r>
      <w:r>
        <w:rPr>
          <w:color w:val="000000"/>
          <w:sz w:val="21"/>
        </w:rPr>
        <w:t>43%</w:t>
      </w:r>
    </w:p>
    <w:p w14:paraId="49E3B056" w14:textId="77777777" w:rsidR="0091080F" w:rsidRDefault="00892D7D">
      <w:pPr>
        <w:pStyle w:val="21"/>
        <w:spacing w:before="240" w:after="120"/>
      </w:pPr>
      <w:bookmarkStart w:id="31" w:name="_Toc236359198"/>
      <w:r>
        <w:rPr>
          <w:rFonts w:ascii="SimHei" w:eastAsia="SimHei" w:hAnsi="SimHei"/>
        </w:rPr>
        <w:t xml:space="preserve">6.3  </w:t>
      </w:r>
      <w:r>
        <w:rPr>
          <w:rFonts w:ascii="SimHei" w:eastAsia="SimHei" w:hAnsi="SimHei"/>
        </w:rPr>
        <w:t>反欺诈技术应用</w:t>
      </w:r>
      <w:bookmarkEnd w:id="31"/>
    </w:p>
    <w:p w14:paraId="3EF0A5E3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反欺诈技术能力在本季度持续突破，</w:t>
      </w:r>
      <w:r>
        <w:rPr>
          <w:color w:val="000000"/>
        </w:rPr>
        <w:t>AI</w:t>
      </w:r>
      <w:r>
        <w:rPr>
          <w:color w:val="000000"/>
        </w:rPr>
        <w:t>与大数据驱动的智能反欺诈体系不断完善。</w:t>
      </w:r>
    </w:p>
    <w:p w14:paraId="3118DCB8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技术落地</w:t>
      </w:r>
    </w:p>
    <w:p w14:paraId="21D83DDC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AI</w:t>
      </w:r>
      <w:r>
        <w:rPr>
          <w:color w:val="000000"/>
          <w:sz w:val="21"/>
        </w:rPr>
        <w:t>反欺诈模型识别准确率升至</w:t>
      </w:r>
      <w:r>
        <w:rPr>
          <w:color w:val="000000"/>
          <w:sz w:val="21"/>
        </w:rPr>
        <w:t>91%</w:t>
      </w:r>
      <w:r>
        <w:rPr>
          <w:color w:val="000000"/>
          <w:sz w:val="21"/>
        </w:rPr>
        <w:t>，误报率控制在</w:t>
      </w:r>
      <w:r>
        <w:rPr>
          <w:color w:val="000000"/>
          <w:sz w:val="21"/>
        </w:rPr>
        <w:t>4%</w:t>
      </w:r>
      <w:r>
        <w:rPr>
          <w:color w:val="000000"/>
          <w:sz w:val="21"/>
        </w:rPr>
        <w:t>以内</w:t>
      </w:r>
    </w:p>
    <w:p w14:paraId="7FC9F18B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图数据库技术应用于团伙欺诈识别，挽回损失约</w:t>
      </w:r>
      <w:r>
        <w:rPr>
          <w:color w:val="000000"/>
          <w:sz w:val="21"/>
        </w:rPr>
        <w:t>15</w:t>
      </w:r>
      <w:r>
        <w:rPr>
          <w:color w:val="000000"/>
          <w:sz w:val="21"/>
        </w:rPr>
        <w:t>亿元</w:t>
      </w:r>
    </w:p>
    <w:p w14:paraId="01444C6C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区块链技术用于理赔数据防篡改，覆盖</w:t>
      </w:r>
      <w:r>
        <w:rPr>
          <w:color w:val="000000"/>
          <w:sz w:val="21"/>
        </w:rPr>
        <w:t>35%</w:t>
      </w:r>
      <w:r>
        <w:rPr>
          <w:color w:val="000000"/>
          <w:sz w:val="21"/>
        </w:rPr>
        <w:t>以上的理赔案件</w:t>
      </w:r>
    </w:p>
    <w:p w14:paraId="34348681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减损成效</w:t>
      </w:r>
    </w:p>
    <w:p w14:paraId="5E18D057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疑似欺诈案件识别量同比增长</w:t>
      </w:r>
      <w:r>
        <w:rPr>
          <w:color w:val="000000"/>
          <w:sz w:val="21"/>
        </w:rPr>
        <w:t>28%</w:t>
      </w:r>
    </w:p>
    <w:p w14:paraId="78FD77E6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lastRenderedPageBreak/>
        <w:t>实际欺诈减损金额约</w:t>
      </w:r>
      <w:r>
        <w:rPr>
          <w:color w:val="000000"/>
          <w:sz w:val="21"/>
        </w:rPr>
        <w:t>10.2</w:t>
      </w:r>
      <w:r>
        <w:rPr>
          <w:color w:val="000000"/>
          <w:sz w:val="21"/>
        </w:rPr>
        <w:t>亿元</w:t>
      </w:r>
    </w:p>
    <w:p w14:paraId="2EEDB66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行业反欺诈信息共享平台覆盖机构增至</w:t>
      </w:r>
      <w:r>
        <w:rPr>
          <w:color w:val="000000"/>
          <w:sz w:val="21"/>
        </w:rPr>
        <w:t>135</w:t>
      </w:r>
      <w:r>
        <w:rPr>
          <w:color w:val="000000"/>
          <w:sz w:val="21"/>
        </w:rPr>
        <w:t>家</w:t>
      </w:r>
    </w:p>
    <w:p w14:paraId="707C67CF" w14:textId="77777777" w:rsidR="0091080F" w:rsidRDefault="00892D7D">
      <w:pPr>
        <w:pStyle w:val="1"/>
        <w:spacing w:before="360" w:after="120"/>
      </w:pPr>
      <w:bookmarkStart w:id="32" w:name="_Toc236359199"/>
      <w:r>
        <w:rPr>
          <w:rFonts w:ascii="SimHei" w:eastAsia="SimHei" w:hAnsi="SimHei"/>
        </w:rPr>
        <w:t>第七章</w:t>
      </w:r>
      <w:r>
        <w:rPr>
          <w:rFonts w:ascii="SimHei" w:eastAsia="SimHei" w:hAnsi="SimHei"/>
        </w:rPr>
        <w:t xml:space="preserve">  </w:t>
      </w:r>
      <w:r>
        <w:rPr>
          <w:rFonts w:ascii="SimHei" w:eastAsia="SimHei" w:hAnsi="SimHei"/>
        </w:rPr>
        <w:t>行业竞争格局</w:t>
      </w:r>
      <w:bookmarkEnd w:id="32"/>
    </w:p>
    <w:p w14:paraId="6FA765D6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本季度保险行业竞争格局延续「头部稳健、腰部分化、尾部出清」态势。市场集中度小幅下降，但头部险企领先地位依然稳固。</w:t>
      </w:r>
    </w:p>
    <w:p w14:paraId="03FAA37B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集中度变化</w:t>
      </w:r>
    </w:p>
    <w:p w14:paraId="415E45FA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人身险市场</w:t>
      </w:r>
      <w:r>
        <w:rPr>
          <w:color w:val="000000"/>
          <w:sz w:val="21"/>
        </w:rPr>
        <w:t>CR5</w:t>
      </w:r>
      <w:r>
        <w:rPr>
          <w:color w:val="000000"/>
          <w:sz w:val="21"/>
        </w:rPr>
        <w:t>为</w:t>
      </w:r>
      <w:r>
        <w:rPr>
          <w:color w:val="000000"/>
          <w:sz w:val="21"/>
        </w:rPr>
        <w:t>53.7%</w:t>
      </w:r>
      <w:r>
        <w:rPr>
          <w:color w:val="000000"/>
          <w:sz w:val="21"/>
        </w:rPr>
        <w:t>，较去年同期下降</w:t>
      </w:r>
      <w:r>
        <w:rPr>
          <w:color w:val="000000"/>
          <w:sz w:val="21"/>
        </w:rPr>
        <w:t>0.5</w:t>
      </w:r>
      <w:r>
        <w:rPr>
          <w:color w:val="000000"/>
          <w:sz w:val="21"/>
        </w:rPr>
        <w:t>个百分点</w:t>
      </w:r>
    </w:p>
    <w:p w14:paraId="58AF6CAC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财产险市场</w:t>
      </w:r>
      <w:r>
        <w:rPr>
          <w:color w:val="000000"/>
          <w:sz w:val="21"/>
        </w:rPr>
        <w:t>CR5</w:t>
      </w:r>
      <w:r>
        <w:rPr>
          <w:color w:val="000000"/>
          <w:sz w:val="21"/>
        </w:rPr>
        <w:t>为</w:t>
      </w:r>
      <w:r>
        <w:rPr>
          <w:color w:val="000000"/>
          <w:sz w:val="21"/>
        </w:rPr>
        <w:t>63.2%</w:t>
      </w:r>
      <w:r>
        <w:rPr>
          <w:color w:val="000000"/>
          <w:sz w:val="21"/>
        </w:rPr>
        <w:t>，较去年同期下降</w:t>
      </w:r>
      <w:r>
        <w:rPr>
          <w:color w:val="000000"/>
          <w:sz w:val="21"/>
        </w:rPr>
        <w:t>0.6</w:t>
      </w:r>
      <w:r>
        <w:rPr>
          <w:color w:val="000000"/>
          <w:sz w:val="21"/>
        </w:rPr>
        <w:t>个百分点</w:t>
      </w:r>
    </w:p>
    <w:p w14:paraId="5CE8EF0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中小险企份额分化加剧，部分公司实现逆势扩张</w:t>
      </w:r>
    </w:p>
    <w:p w14:paraId="6F27CD7D" w14:textId="28E282B1" w:rsidR="0091080F" w:rsidRDefault="00892D7D">
      <w:pPr>
        <w:spacing w:before="120" w:after="120" w:line="240" w:lineRule="auto"/>
        <w:jc w:val="center"/>
      </w:pPr>
      <w:r>
        <w:rPr>
          <w:sz w:val="20"/>
        </w:rPr>
        <w:t>表</w:t>
      </w:r>
      <w:r>
        <w:rPr>
          <w:sz w:val="20"/>
        </w:rPr>
        <w:t xml:space="preserve"> </w:t>
      </w:r>
      <w:bookmarkStart w:id="33" w:name="_Ref_表_3"/>
      <w:r>
        <w:fldChar w:fldCharType="begin"/>
      </w:r>
      <w:r>
        <w:instrText>SEQ Table \* ARABIC</w:instrText>
      </w:r>
      <w:r>
        <w:fldChar w:fldCharType="separate"/>
      </w:r>
      <w:r w:rsidR="004A38C7">
        <w:rPr>
          <w:noProof/>
        </w:rPr>
        <w:t>3</w:t>
      </w:r>
      <w:r>
        <w:rPr>
          <w:sz w:val="20"/>
          <w:szCs w:val="20"/>
        </w:rPr>
        <w:fldChar w:fldCharType="end"/>
      </w:r>
      <w:bookmarkEnd w:id="33"/>
      <w:r>
        <w:rPr>
          <w:sz w:val="20"/>
        </w:rPr>
        <w:t xml:space="preserve">  2026</w:t>
      </w:r>
      <w:r>
        <w:rPr>
          <w:sz w:val="20"/>
        </w:rPr>
        <w:t>年</w:t>
      </w:r>
      <w:r>
        <w:rPr>
          <w:sz w:val="20"/>
        </w:rPr>
        <w:t>Q3</w:t>
      </w:r>
      <w:r>
        <w:rPr>
          <w:sz w:val="20"/>
        </w:rPr>
        <w:t>主要保险公司保费收入排名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0"/>
        <w:gridCol w:w="1700"/>
        <w:gridCol w:w="1706"/>
        <w:gridCol w:w="1704"/>
        <w:gridCol w:w="1706"/>
      </w:tblGrid>
      <w:tr w:rsidR="00894480" w14:paraId="1D77935D" w14:textId="77777777" w:rsidTr="00894480">
        <w:trPr>
          <w:tblHeader/>
        </w:trPr>
        <w:tc>
          <w:tcPr>
            <w:tcW w:w="1728" w:type="dxa"/>
            <w:shd w:val="clear" w:color="auto" w:fill="1F3864"/>
          </w:tcPr>
          <w:p w14:paraId="650339B5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排名</w:t>
            </w:r>
          </w:p>
        </w:tc>
        <w:tc>
          <w:tcPr>
            <w:tcW w:w="1728" w:type="dxa"/>
            <w:shd w:val="clear" w:color="auto" w:fill="1F3864"/>
          </w:tcPr>
          <w:p w14:paraId="47C9B3FD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公司名称</w:t>
            </w:r>
          </w:p>
        </w:tc>
        <w:tc>
          <w:tcPr>
            <w:tcW w:w="1728" w:type="dxa"/>
            <w:shd w:val="clear" w:color="auto" w:fill="1F3864"/>
          </w:tcPr>
          <w:p w14:paraId="200AC595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保费收入</w:t>
            </w:r>
            <w:r>
              <w:rPr>
                <w:b/>
                <w:color w:val="FFFFFF"/>
                <w:sz w:val="20"/>
              </w:rPr>
              <w:t>(</w:t>
            </w:r>
            <w:r>
              <w:rPr>
                <w:b/>
                <w:color w:val="FFFFFF"/>
                <w:sz w:val="20"/>
              </w:rPr>
              <w:t>亿元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728" w:type="dxa"/>
            <w:shd w:val="clear" w:color="auto" w:fill="1F3864"/>
          </w:tcPr>
          <w:p w14:paraId="584AA258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同比增长</w:t>
            </w:r>
          </w:p>
        </w:tc>
        <w:tc>
          <w:tcPr>
            <w:tcW w:w="1728" w:type="dxa"/>
            <w:shd w:val="clear" w:color="auto" w:fill="1F3864"/>
          </w:tcPr>
          <w:p w14:paraId="4242F32B" w14:textId="77777777" w:rsidR="00892D7D" w:rsidRDefault="00892D7D">
            <w:pPr>
              <w:jc w:val="center"/>
            </w:pPr>
            <w:r>
              <w:rPr>
                <w:b/>
                <w:color w:val="FFFFFF"/>
                <w:sz w:val="20"/>
              </w:rPr>
              <w:t>市场份额</w:t>
            </w:r>
          </w:p>
        </w:tc>
      </w:tr>
      <w:tr w:rsidR="00894480" w14:paraId="17C737A0" w14:textId="77777777" w:rsidTr="00894480">
        <w:tc>
          <w:tcPr>
            <w:tcW w:w="1728" w:type="dxa"/>
          </w:tcPr>
          <w:p w14:paraId="0F5D08FE" w14:textId="77777777" w:rsidR="00892D7D" w:rsidRDefault="00892D7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F2EA035" w14:textId="77777777" w:rsidR="00892D7D" w:rsidRDefault="00892D7D">
            <w:pPr>
              <w:jc w:val="center"/>
            </w:pPr>
            <w:r>
              <w:rPr>
                <w:sz w:val="20"/>
              </w:rPr>
              <w:t>平安人寿</w:t>
            </w:r>
          </w:p>
        </w:tc>
        <w:tc>
          <w:tcPr>
            <w:tcW w:w="1728" w:type="dxa"/>
          </w:tcPr>
          <w:p w14:paraId="3AC50A57" w14:textId="77777777" w:rsidR="00892D7D" w:rsidRDefault="00892D7D">
            <w:pPr>
              <w:jc w:val="center"/>
            </w:pPr>
            <w:r>
              <w:rPr>
                <w:sz w:val="20"/>
              </w:rPr>
              <w:t>3,420</w:t>
            </w:r>
          </w:p>
        </w:tc>
        <w:tc>
          <w:tcPr>
            <w:tcW w:w="1728" w:type="dxa"/>
          </w:tcPr>
          <w:p w14:paraId="342A7376" w14:textId="77777777" w:rsidR="00892D7D" w:rsidRDefault="00892D7D">
            <w:pPr>
              <w:jc w:val="center"/>
            </w:pPr>
            <w:r>
              <w:rPr>
                <w:sz w:val="20"/>
              </w:rPr>
              <w:t>6.1%</w:t>
            </w:r>
          </w:p>
        </w:tc>
        <w:tc>
          <w:tcPr>
            <w:tcW w:w="1728" w:type="dxa"/>
          </w:tcPr>
          <w:p w14:paraId="5B9C571F" w14:textId="77777777" w:rsidR="00892D7D" w:rsidRDefault="00892D7D">
            <w:pPr>
              <w:jc w:val="center"/>
            </w:pPr>
            <w:r>
              <w:rPr>
                <w:sz w:val="20"/>
              </w:rPr>
              <w:t>14.6%</w:t>
            </w:r>
          </w:p>
        </w:tc>
      </w:tr>
      <w:tr w:rsidR="00894480" w14:paraId="78EB71A3" w14:textId="77777777" w:rsidTr="00894480">
        <w:tc>
          <w:tcPr>
            <w:tcW w:w="1728" w:type="dxa"/>
            <w:shd w:val="clear" w:color="auto" w:fill="DCE6F2"/>
          </w:tcPr>
          <w:p w14:paraId="50ADB629" w14:textId="77777777" w:rsidR="00892D7D" w:rsidRDefault="00892D7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  <w:shd w:val="clear" w:color="auto" w:fill="DCE6F2"/>
          </w:tcPr>
          <w:p w14:paraId="33323636" w14:textId="77777777" w:rsidR="00892D7D" w:rsidRDefault="00892D7D">
            <w:pPr>
              <w:jc w:val="center"/>
            </w:pPr>
            <w:r>
              <w:rPr>
                <w:sz w:val="20"/>
              </w:rPr>
              <w:t>中国人寿</w:t>
            </w:r>
          </w:p>
        </w:tc>
        <w:tc>
          <w:tcPr>
            <w:tcW w:w="1728" w:type="dxa"/>
            <w:shd w:val="clear" w:color="auto" w:fill="DCE6F2"/>
          </w:tcPr>
          <w:p w14:paraId="28567E00" w14:textId="77777777" w:rsidR="00892D7D" w:rsidRDefault="00892D7D">
            <w:pPr>
              <w:jc w:val="center"/>
            </w:pPr>
            <w:r>
              <w:rPr>
                <w:sz w:val="20"/>
              </w:rPr>
              <w:t>3,120</w:t>
            </w:r>
          </w:p>
        </w:tc>
        <w:tc>
          <w:tcPr>
            <w:tcW w:w="1728" w:type="dxa"/>
            <w:shd w:val="clear" w:color="auto" w:fill="DCE6F2"/>
          </w:tcPr>
          <w:p w14:paraId="192C8B50" w14:textId="77777777" w:rsidR="00892D7D" w:rsidRDefault="00892D7D">
            <w:pPr>
              <w:jc w:val="center"/>
            </w:pPr>
            <w:r>
              <w:rPr>
                <w:sz w:val="20"/>
              </w:rPr>
              <w:t>4.8%</w:t>
            </w:r>
          </w:p>
        </w:tc>
        <w:tc>
          <w:tcPr>
            <w:tcW w:w="1728" w:type="dxa"/>
            <w:shd w:val="clear" w:color="auto" w:fill="DCE6F2"/>
          </w:tcPr>
          <w:p w14:paraId="5CE93036" w14:textId="77777777" w:rsidR="00892D7D" w:rsidRDefault="00892D7D">
            <w:pPr>
              <w:jc w:val="center"/>
            </w:pPr>
            <w:r>
              <w:rPr>
                <w:sz w:val="20"/>
              </w:rPr>
              <w:t>13.3%</w:t>
            </w:r>
          </w:p>
        </w:tc>
      </w:tr>
      <w:tr w:rsidR="00894480" w14:paraId="01D7BCFB" w14:textId="77777777" w:rsidTr="00894480">
        <w:tc>
          <w:tcPr>
            <w:tcW w:w="1728" w:type="dxa"/>
          </w:tcPr>
          <w:p w14:paraId="7B737B3D" w14:textId="77777777" w:rsidR="00892D7D" w:rsidRDefault="00892D7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84BCB46" w14:textId="77777777" w:rsidR="00892D7D" w:rsidRDefault="00892D7D">
            <w:pPr>
              <w:jc w:val="center"/>
            </w:pPr>
            <w:r>
              <w:rPr>
                <w:sz w:val="20"/>
              </w:rPr>
              <w:t>太保寿险</w:t>
            </w:r>
          </w:p>
        </w:tc>
        <w:tc>
          <w:tcPr>
            <w:tcW w:w="1728" w:type="dxa"/>
          </w:tcPr>
          <w:p w14:paraId="2EC1F680" w14:textId="77777777" w:rsidR="00892D7D" w:rsidRDefault="00892D7D">
            <w:pPr>
              <w:jc w:val="center"/>
            </w:pPr>
            <w:r>
              <w:rPr>
                <w:sz w:val="20"/>
              </w:rPr>
              <w:t>1,790</w:t>
            </w:r>
          </w:p>
        </w:tc>
        <w:tc>
          <w:tcPr>
            <w:tcW w:w="1728" w:type="dxa"/>
          </w:tcPr>
          <w:p w14:paraId="621A5D92" w14:textId="77777777" w:rsidR="00892D7D" w:rsidRDefault="00892D7D">
            <w:pPr>
              <w:jc w:val="center"/>
            </w:pPr>
            <w:r>
              <w:rPr>
                <w:sz w:val="20"/>
              </w:rPr>
              <w:t>9.2%</w:t>
            </w:r>
          </w:p>
        </w:tc>
        <w:tc>
          <w:tcPr>
            <w:tcW w:w="1728" w:type="dxa"/>
          </w:tcPr>
          <w:p w14:paraId="28849869" w14:textId="77777777" w:rsidR="00892D7D" w:rsidRDefault="00892D7D">
            <w:pPr>
              <w:jc w:val="center"/>
            </w:pPr>
            <w:r>
              <w:rPr>
                <w:sz w:val="20"/>
              </w:rPr>
              <w:t>7.6%</w:t>
            </w:r>
          </w:p>
        </w:tc>
      </w:tr>
      <w:tr w:rsidR="00894480" w14:paraId="564CB131" w14:textId="77777777" w:rsidTr="00894480">
        <w:tc>
          <w:tcPr>
            <w:tcW w:w="1728" w:type="dxa"/>
            <w:shd w:val="clear" w:color="auto" w:fill="DCE6F2"/>
          </w:tcPr>
          <w:p w14:paraId="4C798B93" w14:textId="77777777" w:rsidR="00892D7D" w:rsidRDefault="00892D7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  <w:shd w:val="clear" w:color="auto" w:fill="DCE6F2"/>
          </w:tcPr>
          <w:p w14:paraId="6DEC6E8D" w14:textId="77777777" w:rsidR="00892D7D" w:rsidRDefault="00892D7D">
            <w:pPr>
              <w:jc w:val="center"/>
            </w:pPr>
            <w:r>
              <w:rPr>
                <w:sz w:val="20"/>
              </w:rPr>
              <w:t>新华保险</w:t>
            </w:r>
          </w:p>
        </w:tc>
        <w:tc>
          <w:tcPr>
            <w:tcW w:w="1728" w:type="dxa"/>
            <w:shd w:val="clear" w:color="auto" w:fill="DCE6F2"/>
          </w:tcPr>
          <w:p w14:paraId="225A1A80" w14:textId="77777777" w:rsidR="00892D7D" w:rsidRDefault="00892D7D">
            <w:pPr>
              <w:jc w:val="center"/>
            </w:pPr>
            <w:r>
              <w:rPr>
                <w:sz w:val="20"/>
              </w:rPr>
              <w:t>1,120</w:t>
            </w:r>
          </w:p>
        </w:tc>
        <w:tc>
          <w:tcPr>
            <w:tcW w:w="1728" w:type="dxa"/>
            <w:shd w:val="clear" w:color="auto" w:fill="DCE6F2"/>
          </w:tcPr>
          <w:p w14:paraId="75B75CF7" w14:textId="77777777" w:rsidR="00892D7D" w:rsidRDefault="00892D7D">
            <w:pPr>
              <w:jc w:val="center"/>
            </w:pPr>
            <w:r>
              <w:rPr>
                <w:sz w:val="20"/>
              </w:rPr>
              <w:t>6.8%</w:t>
            </w:r>
          </w:p>
        </w:tc>
        <w:tc>
          <w:tcPr>
            <w:tcW w:w="1728" w:type="dxa"/>
            <w:shd w:val="clear" w:color="auto" w:fill="DCE6F2"/>
          </w:tcPr>
          <w:p w14:paraId="16765FFA" w14:textId="77777777" w:rsidR="00892D7D" w:rsidRDefault="00892D7D">
            <w:pPr>
              <w:jc w:val="center"/>
            </w:pPr>
            <w:r>
              <w:rPr>
                <w:sz w:val="20"/>
              </w:rPr>
              <w:t>4.8%</w:t>
            </w:r>
          </w:p>
        </w:tc>
      </w:tr>
      <w:tr w:rsidR="00894480" w14:paraId="7ED39C91" w14:textId="77777777" w:rsidTr="00894480">
        <w:tc>
          <w:tcPr>
            <w:tcW w:w="1728" w:type="dxa"/>
          </w:tcPr>
          <w:p w14:paraId="5736878E" w14:textId="77777777" w:rsidR="00892D7D" w:rsidRDefault="00892D7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1FB3BDC" w14:textId="77777777" w:rsidR="00892D7D" w:rsidRDefault="00892D7D">
            <w:pPr>
              <w:jc w:val="center"/>
            </w:pPr>
            <w:r>
              <w:rPr>
                <w:sz w:val="20"/>
              </w:rPr>
              <w:t>泰康人寿</w:t>
            </w:r>
          </w:p>
        </w:tc>
        <w:tc>
          <w:tcPr>
            <w:tcW w:w="1728" w:type="dxa"/>
          </w:tcPr>
          <w:p w14:paraId="7E3448A0" w14:textId="77777777" w:rsidR="00892D7D" w:rsidRDefault="00892D7D">
            <w:pPr>
              <w:jc w:val="center"/>
            </w:pPr>
            <w:r>
              <w:rPr>
                <w:sz w:val="20"/>
              </w:rPr>
              <w:t>1,050</w:t>
            </w:r>
          </w:p>
        </w:tc>
        <w:tc>
          <w:tcPr>
            <w:tcW w:w="1728" w:type="dxa"/>
          </w:tcPr>
          <w:p w14:paraId="36D31CEF" w14:textId="77777777" w:rsidR="00892D7D" w:rsidRDefault="00892D7D">
            <w:pPr>
              <w:jc w:val="center"/>
            </w:pPr>
            <w:r>
              <w:rPr>
                <w:sz w:val="20"/>
              </w:rPr>
              <w:t>7.5%</w:t>
            </w:r>
          </w:p>
        </w:tc>
        <w:tc>
          <w:tcPr>
            <w:tcW w:w="1728" w:type="dxa"/>
          </w:tcPr>
          <w:p w14:paraId="5C09CB93" w14:textId="77777777" w:rsidR="00892D7D" w:rsidRDefault="00892D7D">
            <w:pPr>
              <w:jc w:val="center"/>
            </w:pPr>
            <w:r>
              <w:rPr>
                <w:sz w:val="20"/>
              </w:rPr>
              <w:t>4.5%</w:t>
            </w:r>
          </w:p>
        </w:tc>
      </w:tr>
      <w:tr w:rsidR="00894480" w14:paraId="2090FE0C" w14:textId="77777777" w:rsidTr="00894480">
        <w:tc>
          <w:tcPr>
            <w:tcW w:w="1728" w:type="dxa"/>
            <w:shd w:val="clear" w:color="auto" w:fill="DCE6F2"/>
          </w:tcPr>
          <w:p w14:paraId="172A6289" w14:textId="77777777" w:rsidR="00892D7D" w:rsidRDefault="00892D7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  <w:shd w:val="clear" w:color="auto" w:fill="DCE6F2"/>
          </w:tcPr>
          <w:p w14:paraId="5012DEFC" w14:textId="77777777" w:rsidR="00892D7D" w:rsidRDefault="00892D7D">
            <w:pPr>
              <w:jc w:val="center"/>
            </w:pPr>
            <w:r>
              <w:rPr>
                <w:sz w:val="20"/>
              </w:rPr>
              <w:t>人保财险</w:t>
            </w:r>
          </w:p>
        </w:tc>
        <w:tc>
          <w:tcPr>
            <w:tcW w:w="1728" w:type="dxa"/>
            <w:shd w:val="clear" w:color="auto" w:fill="DCE6F2"/>
          </w:tcPr>
          <w:p w14:paraId="7F0152BE" w14:textId="77777777" w:rsidR="00892D7D" w:rsidRDefault="00892D7D">
            <w:pPr>
              <w:jc w:val="center"/>
            </w:pPr>
            <w:r>
              <w:rPr>
                <w:sz w:val="20"/>
              </w:rPr>
              <w:t>2,580</w:t>
            </w:r>
          </w:p>
        </w:tc>
        <w:tc>
          <w:tcPr>
            <w:tcW w:w="1728" w:type="dxa"/>
            <w:shd w:val="clear" w:color="auto" w:fill="DCE6F2"/>
          </w:tcPr>
          <w:p w14:paraId="70D0441F" w14:textId="77777777" w:rsidR="00892D7D" w:rsidRDefault="00892D7D">
            <w:pPr>
              <w:jc w:val="center"/>
            </w:pPr>
            <w:r>
              <w:rPr>
                <w:sz w:val="20"/>
              </w:rPr>
              <w:t>5.2%</w:t>
            </w:r>
          </w:p>
        </w:tc>
        <w:tc>
          <w:tcPr>
            <w:tcW w:w="1728" w:type="dxa"/>
            <w:shd w:val="clear" w:color="auto" w:fill="DCE6F2"/>
          </w:tcPr>
          <w:p w14:paraId="00D25845" w14:textId="77777777" w:rsidR="00892D7D" w:rsidRDefault="00892D7D">
            <w:pPr>
              <w:jc w:val="center"/>
            </w:pPr>
            <w:r>
              <w:rPr>
                <w:sz w:val="20"/>
              </w:rPr>
              <w:t>11.0%</w:t>
            </w:r>
          </w:p>
        </w:tc>
      </w:tr>
      <w:tr w:rsidR="00894480" w14:paraId="27CACA00" w14:textId="77777777" w:rsidTr="00894480">
        <w:tc>
          <w:tcPr>
            <w:tcW w:w="1728" w:type="dxa"/>
          </w:tcPr>
          <w:p w14:paraId="756EE7ED" w14:textId="77777777" w:rsidR="00892D7D" w:rsidRDefault="00892D7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AC46513" w14:textId="77777777" w:rsidR="00892D7D" w:rsidRDefault="00892D7D">
            <w:pPr>
              <w:jc w:val="center"/>
            </w:pPr>
            <w:r>
              <w:rPr>
                <w:sz w:val="20"/>
              </w:rPr>
              <w:t>平安产险</w:t>
            </w:r>
          </w:p>
        </w:tc>
        <w:tc>
          <w:tcPr>
            <w:tcW w:w="1728" w:type="dxa"/>
          </w:tcPr>
          <w:p w14:paraId="1B66506A" w14:textId="77777777" w:rsidR="00892D7D" w:rsidRDefault="00892D7D">
            <w:pPr>
              <w:jc w:val="center"/>
            </w:pPr>
            <w:r>
              <w:rPr>
                <w:sz w:val="20"/>
              </w:rPr>
              <w:t>1,610</w:t>
            </w:r>
          </w:p>
        </w:tc>
        <w:tc>
          <w:tcPr>
            <w:tcW w:w="1728" w:type="dxa"/>
          </w:tcPr>
          <w:p w14:paraId="3F27A310" w14:textId="77777777" w:rsidR="00892D7D" w:rsidRDefault="00892D7D">
            <w:pPr>
              <w:jc w:val="center"/>
            </w:pPr>
            <w:r>
              <w:rPr>
                <w:sz w:val="20"/>
              </w:rPr>
              <w:t>6.5%</w:t>
            </w:r>
          </w:p>
        </w:tc>
        <w:tc>
          <w:tcPr>
            <w:tcW w:w="1728" w:type="dxa"/>
          </w:tcPr>
          <w:p w14:paraId="6EA76B43" w14:textId="77777777" w:rsidR="00892D7D" w:rsidRDefault="00892D7D">
            <w:pPr>
              <w:jc w:val="center"/>
            </w:pPr>
            <w:r>
              <w:rPr>
                <w:sz w:val="20"/>
              </w:rPr>
              <w:t>6.9%</w:t>
            </w:r>
          </w:p>
        </w:tc>
      </w:tr>
      <w:tr w:rsidR="00894480" w14:paraId="1B8EB580" w14:textId="77777777" w:rsidTr="00894480">
        <w:tc>
          <w:tcPr>
            <w:tcW w:w="1728" w:type="dxa"/>
            <w:shd w:val="clear" w:color="auto" w:fill="DCE6F2"/>
          </w:tcPr>
          <w:p w14:paraId="29B421C4" w14:textId="77777777" w:rsidR="00892D7D" w:rsidRDefault="00892D7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  <w:shd w:val="clear" w:color="auto" w:fill="DCE6F2"/>
          </w:tcPr>
          <w:p w14:paraId="7E8025C7" w14:textId="77777777" w:rsidR="00892D7D" w:rsidRDefault="00892D7D">
            <w:pPr>
              <w:jc w:val="center"/>
            </w:pPr>
            <w:r>
              <w:rPr>
                <w:sz w:val="20"/>
              </w:rPr>
              <w:t>太保产险</w:t>
            </w:r>
          </w:p>
        </w:tc>
        <w:tc>
          <w:tcPr>
            <w:tcW w:w="1728" w:type="dxa"/>
            <w:shd w:val="clear" w:color="auto" w:fill="DCE6F2"/>
          </w:tcPr>
          <w:p w14:paraId="153651BC" w14:textId="77777777" w:rsidR="00892D7D" w:rsidRDefault="00892D7D">
            <w:pPr>
              <w:jc w:val="center"/>
            </w:pPr>
            <w:r>
              <w:rPr>
                <w:sz w:val="20"/>
              </w:rPr>
              <w:t>970</w:t>
            </w:r>
          </w:p>
        </w:tc>
        <w:tc>
          <w:tcPr>
            <w:tcW w:w="1728" w:type="dxa"/>
            <w:shd w:val="clear" w:color="auto" w:fill="DCE6F2"/>
          </w:tcPr>
          <w:p w14:paraId="5FEA584F" w14:textId="77777777" w:rsidR="00892D7D" w:rsidRDefault="00892D7D">
            <w:pPr>
              <w:jc w:val="center"/>
            </w:pPr>
            <w:r>
              <w:rPr>
                <w:sz w:val="20"/>
              </w:rPr>
              <w:t>5.9%</w:t>
            </w:r>
          </w:p>
        </w:tc>
        <w:tc>
          <w:tcPr>
            <w:tcW w:w="1728" w:type="dxa"/>
            <w:shd w:val="clear" w:color="auto" w:fill="DCE6F2"/>
          </w:tcPr>
          <w:p w14:paraId="3C4AC5B0" w14:textId="77777777" w:rsidR="00892D7D" w:rsidRDefault="00892D7D">
            <w:pPr>
              <w:jc w:val="center"/>
            </w:pPr>
            <w:r>
              <w:rPr>
                <w:sz w:val="20"/>
              </w:rPr>
              <w:t>4.1%</w:t>
            </w:r>
          </w:p>
        </w:tc>
      </w:tr>
    </w:tbl>
    <w:p w14:paraId="4CD5AAB1" w14:textId="77777777" w:rsidR="0091080F" w:rsidRDefault="0091080F"/>
    <w:p w14:paraId="3C02352C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竞争格局演变</w:t>
      </w:r>
    </w:p>
    <w:p w14:paraId="3BBEAFE7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头部险企依托品牌与渠道护城河维持领先</w:t>
      </w:r>
    </w:p>
    <w:p w14:paraId="1D6EFF5F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腰部险企借差异化经营实现突围，特色化成为破局关键</w:t>
      </w:r>
    </w:p>
    <w:p w14:paraId="464799C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部分小型险企经营承压，行业整合预期升温</w:t>
      </w:r>
    </w:p>
    <w:p w14:paraId="43E459D0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并购活动</w:t>
      </w:r>
    </w:p>
    <w:p w14:paraId="2A566292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三季度发生</w:t>
      </w:r>
      <w:r>
        <w:rPr>
          <w:color w:val="000000"/>
          <w:sz w:val="21"/>
        </w:rPr>
        <w:t>3</w:t>
      </w:r>
      <w:r>
        <w:rPr>
          <w:color w:val="000000"/>
          <w:sz w:val="21"/>
        </w:rPr>
        <w:t>起重大并购事件，涉及金额超</w:t>
      </w:r>
      <w:r>
        <w:rPr>
          <w:color w:val="000000"/>
          <w:sz w:val="21"/>
        </w:rPr>
        <w:t>65</w:t>
      </w:r>
      <w:r>
        <w:rPr>
          <w:color w:val="000000"/>
          <w:sz w:val="21"/>
        </w:rPr>
        <w:t>亿元</w:t>
      </w:r>
    </w:p>
    <w:p w14:paraId="4F1044F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跨界合作日益活跃，保险与医疗、养老、科技企业加速协同</w:t>
      </w:r>
    </w:p>
    <w:p w14:paraId="3E33A8D4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外资险企加大中国市场布局，新增</w:t>
      </w:r>
      <w:r>
        <w:rPr>
          <w:color w:val="000000"/>
          <w:sz w:val="21"/>
        </w:rPr>
        <w:t>4</w:t>
      </w:r>
      <w:r>
        <w:rPr>
          <w:color w:val="000000"/>
          <w:sz w:val="21"/>
        </w:rPr>
        <w:t>家外资独资机构</w:t>
      </w:r>
    </w:p>
    <w:p w14:paraId="5EE09DB6" w14:textId="77777777" w:rsidR="0091080F" w:rsidRDefault="00892D7D">
      <w:pPr>
        <w:spacing w:before="200" w:after="80" w:line="360" w:lineRule="auto"/>
        <w:ind w:firstLineChars="200" w:firstLine="360"/>
        <w:jc w:val="center"/>
      </w:pPr>
      <w:r>
        <w:rPr>
          <w:color w:val="AAAAAA"/>
          <w:sz w:val="18"/>
        </w:rPr>
        <w:t xml:space="preserve">———  </w:t>
      </w:r>
      <w:r>
        <w:rPr>
          <w:color w:val="AAAAAA"/>
          <w:sz w:val="18"/>
        </w:rPr>
        <w:t>内容分隔</w:t>
      </w:r>
      <w:r>
        <w:rPr>
          <w:color w:val="AAAAAA"/>
          <w:sz w:val="18"/>
        </w:rPr>
        <w:t xml:space="preserve">  ———</w:t>
      </w:r>
    </w:p>
    <w:p w14:paraId="6A0F4102" w14:textId="77777777" w:rsidR="0091080F" w:rsidRDefault="00892D7D">
      <w:pPr>
        <w:pStyle w:val="1"/>
        <w:spacing w:before="360" w:after="120"/>
      </w:pPr>
      <w:bookmarkStart w:id="34" w:name="_Toc236359200"/>
      <w:r>
        <w:rPr>
          <w:rFonts w:ascii="SimHei" w:eastAsia="SimHei" w:hAnsi="SimHei"/>
        </w:rPr>
        <w:lastRenderedPageBreak/>
        <w:t>第八章</w:t>
      </w:r>
      <w:r>
        <w:rPr>
          <w:rFonts w:ascii="SimHei" w:eastAsia="SimHei" w:hAnsi="SimHei"/>
        </w:rPr>
        <w:t xml:space="preserve">  </w:t>
      </w:r>
      <w:r>
        <w:rPr>
          <w:rFonts w:ascii="SimHei" w:eastAsia="SimHei" w:hAnsi="SimHei"/>
        </w:rPr>
        <w:t>趋势展望与策略建议</w:t>
      </w:r>
      <w:bookmarkEnd w:id="34"/>
    </w:p>
    <w:p w14:paraId="663DC729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展望</w:t>
      </w:r>
      <w:r>
        <w:rPr>
          <w:color w:val="000000"/>
        </w:rPr>
        <w:t>2026</w:t>
      </w:r>
      <w:r>
        <w:rPr>
          <w:color w:val="000000"/>
        </w:rPr>
        <w:t>年第四季度及</w:t>
      </w:r>
      <w:r>
        <w:rPr>
          <w:color w:val="000000"/>
        </w:rPr>
        <w:t>2027</w:t>
      </w:r>
      <w:r>
        <w:rPr>
          <w:color w:val="000000"/>
        </w:rPr>
        <w:t>年，保险行业有望延续平稳发展态势，同时面临多重机遇与挑战。本报告基于季度调研数据，提出以下趋势研判与策略建议。</w:t>
      </w:r>
    </w:p>
    <w:p w14:paraId="6B0E5D23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行业趋势研判</w:t>
      </w:r>
    </w:p>
    <w:p w14:paraId="2118017A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保费增速有望维持在</w:t>
      </w:r>
      <w:r>
        <w:rPr>
          <w:color w:val="000000"/>
          <w:sz w:val="21"/>
        </w:rPr>
        <w:t>6%-8%</w:t>
      </w:r>
      <w:r>
        <w:rPr>
          <w:color w:val="000000"/>
          <w:sz w:val="21"/>
        </w:rPr>
        <w:t>区间，业务结构持续向保障型倾斜</w:t>
      </w:r>
    </w:p>
    <w:p w14:paraId="30FD5F3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低利率格局短期难以逆转，资产负债匹配管理仍是经营核心命题</w:t>
      </w:r>
    </w:p>
    <w:p w14:paraId="033B90AA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数字化转型步入收获期，科技投入的边际产出持续改善</w:t>
      </w:r>
    </w:p>
    <w:p w14:paraId="1F2973A5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养老保险市场扩容提速，第三支柱发展空间逐步打开</w:t>
      </w:r>
    </w:p>
    <w:p w14:paraId="14464907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绿色保险与可持续发展相关产品迎来政策红利窗口</w:t>
      </w:r>
    </w:p>
    <w:p w14:paraId="676C51FB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经营策略建议</w:t>
      </w:r>
    </w:p>
    <w:p w14:paraId="4191EC1D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调优产品矩阵：压降低定价利率产品比重，加大分红险、万能险布局力度</w:t>
      </w:r>
    </w:p>
    <w:p w14:paraId="161BFDE3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深化渠道变革：推动代理人队伍专业化、银保渠道价值化、线上渠道规模化</w:t>
      </w:r>
    </w:p>
    <w:p w14:paraId="4AE7AFC7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筑牢风控防线：健全资产负债管理框架，增强极端情景应对韧性</w:t>
      </w:r>
    </w:p>
    <w:p w14:paraId="354F359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加码科技投入：推动</w:t>
      </w:r>
      <w:r>
        <w:rPr>
          <w:color w:val="000000"/>
          <w:sz w:val="21"/>
        </w:rPr>
        <w:t>AI</w:t>
      </w:r>
      <w:r>
        <w:rPr>
          <w:color w:val="000000"/>
          <w:sz w:val="21"/>
        </w:rPr>
        <w:t>、大数据在核保、理赔、客服等核心环节的纵深应用</w:t>
      </w:r>
    </w:p>
    <w:p w14:paraId="3AC8BD73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拓展生态协同：与医疗、养老、健康管理等领域共建服务生态圈</w:t>
      </w:r>
    </w:p>
    <w:p w14:paraId="4218B075" w14:textId="77777777" w:rsidR="0091080F" w:rsidRDefault="00892D7D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主要风险</w:t>
      </w:r>
    </w:p>
    <w:p w14:paraId="48363D83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利率长期低位运行或加剧利差损风险暴露</w:t>
      </w:r>
    </w:p>
    <w:p w14:paraId="63E2AF97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资本市场震荡对投资端收益构成压力</w:t>
      </w:r>
    </w:p>
    <w:p w14:paraId="0A772E5E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极端天气频发考验巨灾保险体系承压能力</w:t>
      </w:r>
    </w:p>
    <w:p w14:paraId="193A7EF4" w14:textId="77777777" w:rsidR="0091080F" w:rsidRDefault="00892D7D">
      <w:pPr>
        <w:pStyle w:val="a0"/>
        <w:spacing w:after="20" w:line="336" w:lineRule="auto"/>
      </w:pPr>
      <w:r>
        <w:rPr>
          <w:color w:val="000000"/>
          <w:sz w:val="21"/>
        </w:rPr>
        <w:t>监管规则调整可能重塑部分业务模式</w:t>
      </w:r>
    </w:p>
    <w:p w14:paraId="74250FF5" w14:textId="77777777" w:rsidR="0091080F" w:rsidRDefault="00892D7D">
      <w:pPr>
        <w:spacing w:after="80" w:line="360" w:lineRule="auto"/>
        <w:ind w:firstLineChars="200" w:firstLine="560"/>
      </w:pPr>
      <w:r>
        <w:rPr>
          <w:color w:val="000000"/>
        </w:rPr>
        <w:t>总体而言，</w:t>
      </w:r>
      <w:r>
        <w:rPr>
          <w:color w:val="000000"/>
        </w:rPr>
        <w:t>2026</w:t>
      </w:r>
      <w:r>
        <w:rPr>
          <w:color w:val="000000"/>
        </w:rPr>
        <w:t>年第三季度中国保险行业保持稳健运行。在宏观经济温和修复、政策环境持续优化的背景下，行业正经历从规模扩张向质量提升的深刻转型。险企需把握数字化转型、养老保险扩容、绿色保险发展等结构性机遇，同时做好利率风险、市场风险和操作风险的防范，推动高质量发展。</w:t>
      </w:r>
    </w:p>
    <w:sectPr w:rsidR="0091080F" w:rsidSect="00034616">
      <w:headerReference w:type="default" r:id="rId12"/>
      <w:footerReference w:type="default" r:id="rId13"/>
      <w:pgSz w:w="11906" w:h="16838"/>
      <w:pgMar w:top="1440" w:right="1803" w:bottom="1440" w:left="180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712B" w14:textId="77777777" w:rsidR="00892D7D" w:rsidRDefault="00892D7D">
      <w:pPr>
        <w:spacing w:after="0" w:line="240" w:lineRule="auto"/>
      </w:pPr>
      <w:r>
        <w:separator/>
      </w:r>
    </w:p>
  </w:endnote>
  <w:endnote w:type="continuationSeparator" w:id="0">
    <w:p w14:paraId="72E46A0D" w14:textId="77777777" w:rsidR="00892D7D" w:rsidRDefault="00892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Zhongsong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C302B" w14:textId="77777777" w:rsidR="0091080F" w:rsidRDefault="00892D7D">
    <w:pPr>
      <w:pStyle w:val="a7"/>
      <w:jc w:val="center"/>
    </w:pPr>
    <w:r>
      <w:rPr>
        <w:color w:val="999999"/>
        <w:sz w:val="18"/>
      </w:rPr>
      <w:t>第</w:t>
    </w:r>
    <w:r>
      <w:rPr>
        <w:color w:val="999999"/>
        <w:sz w:val="18"/>
      </w:rPr>
      <w:t xml:space="preserve"> </w:t>
    </w:r>
    <w:r>
      <w:rPr>
        <w:color w:val="999999"/>
        <w:sz w:val="18"/>
      </w:rPr>
      <w:fldChar w:fldCharType="begin"/>
    </w:r>
    <w:r>
      <w:rPr>
        <w:color w:val="999999"/>
        <w:sz w:val="18"/>
      </w:rPr>
      <w:instrText>PAGE</w:instrText>
    </w:r>
    <w:r>
      <w:rPr>
        <w:color w:val="999999"/>
        <w:sz w:val="18"/>
      </w:rPr>
      <w:fldChar w:fldCharType="separate"/>
    </w:r>
    <w:r>
      <w:rPr>
        <w:color w:val="999999"/>
        <w:sz w:val="18"/>
      </w:rPr>
      <w:t>1</w:t>
    </w:r>
    <w:r>
      <w:rPr>
        <w:color w:val="999999"/>
        <w:sz w:val="18"/>
      </w:rPr>
      <w:fldChar w:fldCharType="end"/>
    </w:r>
    <w:r>
      <w:rPr>
        <w:color w:val="999999"/>
        <w:sz w:val="18"/>
      </w:rPr>
      <w:t xml:space="preserve"> </w:t>
    </w:r>
    <w:r>
      <w:rPr>
        <w:color w:val="99999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2FD90" w14:textId="77777777" w:rsidR="00892D7D" w:rsidRDefault="00892D7D">
      <w:pPr>
        <w:spacing w:after="0" w:line="240" w:lineRule="auto"/>
      </w:pPr>
      <w:r>
        <w:separator/>
      </w:r>
    </w:p>
  </w:footnote>
  <w:footnote w:type="continuationSeparator" w:id="0">
    <w:p w14:paraId="292095C4" w14:textId="77777777" w:rsidR="00892D7D" w:rsidRDefault="00892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EBCE" w14:textId="77777777" w:rsidR="0091080F" w:rsidRDefault="00892D7D">
    <w:pPr>
      <w:pStyle w:val="a5"/>
      <w:pBdr>
        <w:bottom w:val="single" w:sz="4" w:space="1" w:color="1F3864"/>
      </w:pBdr>
      <w:spacing w:after="40"/>
      <w:jc w:val="center"/>
    </w:pPr>
    <w:r>
      <w:rPr>
        <w:color w:val="999999"/>
        <w:sz w:val="18"/>
      </w:rPr>
      <w:t>中国保险行业调研报告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154227">
    <w:abstractNumId w:val="8"/>
  </w:num>
  <w:num w:numId="2" w16cid:durableId="65345358">
    <w:abstractNumId w:val="6"/>
  </w:num>
  <w:num w:numId="3" w16cid:durableId="1774785426">
    <w:abstractNumId w:val="5"/>
  </w:num>
  <w:num w:numId="4" w16cid:durableId="633874545">
    <w:abstractNumId w:val="4"/>
  </w:num>
  <w:num w:numId="5" w16cid:durableId="715737264">
    <w:abstractNumId w:val="7"/>
  </w:num>
  <w:num w:numId="6" w16cid:durableId="589966650">
    <w:abstractNumId w:val="3"/>
  </w:num>
  <w:num w:numId="7" w16cid:durableId="1481576130">
    <w:abstractNumId w:val="2"/>
  </w:num>
  <w:num w:numId="8" w16cid:durableId="866529229">
    <w:abstractNumId w:val="1"/>
  </w:num>
  <w:num w:numId="9" w16cid:durableId="27729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8C7"/>
    <w:rsid w:val="00892D7D"/>
    <w:rsid w:val="0091080F"/>
    <w:rsid w:val="00AA1D8D"/>
    <w:rsid w:val="00B47730"/>
    <w:rsid w:val="00CB0664"/>
    <w:rsid w:val="00D912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A0D0DA"/>
  <w14:defaultImageDpi w14:val="300"/>
  <w15:docId w15:val="{4756F65B-57B1-45E4-8D1A-5CD98C3D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A38C7"/>
    <w:pPr>
      <w:spacing w:after="100"/>
    </w:pPr>
  </w:style>
  <w:style w:type="paragraph" w:styleId="TOC2">
    <w:name w:val="toc 2"/>
    <w:basedOn w:val="a1"/>
    <w:next w:val="a1"/>
    <w:autoRedefine/>
    <w:uiPriority w:val="39"/>
    <w:unhideWhenUsed/>
    <w:rsid w:val="004A38C7"/>
    <w:pPr>
      <w:spacing w:after="100"/>
      <w:ind w:left="280"/>
    </w:pPr>
  </w:style>
  <w:style w:type="paragraph" w:styleId="TOC3">
    <w:name w:val="toc 3"/>
    <w:basedOn w:val="a1"/>
    <w:next w:val="a1"/>
    <w:autoRedefine/>
    <w:uiPriority w:val="39"/>
    <w:unhideWhenUsed/>
    <w:rsid w:val="004A38C7"/>
    <w:pPr>
      <w:spacing w:after="100"/>
      <w:ind w:left="560"/>
    </w:pPr>
  </w:style>
  <w:style w:type="character" w:styleId="aff9">
    <w:name w:val="Hyperlink"/>
    <w:basedOn w:val="a2"/>
    <w:uiPriority w:val="99"/>
    <w:unhideWhenUsed/>
    <w:rsid w:val="004A38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Zijun Meng</cp:lastModifiedBy>
  <cp:revision>2</cp:revision>
  <dcterms:created xsi:type="dcterms:W3CDTF">2013-12-23T23:15:00Z</dcterms:created>
  <dcterms:modified xsi:type="dcterms:W3CDTF">2026-07-30T18:58:00Z</dcterms:modified>
  <cp:category/>
</cp:coreProperties>
</file>