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黑体" w:hAnsi="黑体" w:eastAsia="黑体"/>
          <w:b/>
          <w:color w:val="1F3864"/>
          <w:sz w:val="52"/>
        </w:rPr>
        <w:t>2026年第二季度</w:t>
      </w:r>
    </w:p>
    <w:p>
      <w:pPr>
        <w:spacing w:after="400"/>
        <w:jc w:val="center"/>
      </w:pPr>
      <w:r>
        <w:rPr>
          <w:rFonts w:ascii="黑体" w:hAnsi="黑体" w:eastAsia="黑体"/>
          <w:b/>
          <w:color w:val="1F3864"/>
          <w:sz w:val="52"/>
        </w:rPr>
        <w:t>中国保险行业调研报告</w:t>
      </w:r>
    </w:p>
    <w:p>
      <w:pPr>
        <w:jc w:val="center"/>
      </w:pPr>
      <w:r>
        <w:rPr>
          <w:rFonts w:ascii="宋体" w:hAnsi="宋体" w:eastAsia="宋体"/>
          <w:b w:val="0"/>
          <w:color w:val="666666"/>
          <w:sz w:val="28"/>
        </w:rPr>
        <w:t>市场环境 · 保费增长 · 渠道变革 · 趋势展望</w:t>
      </w:r>
    </w:p>
    <w:p/>
    <w:p/>
    <w:p/>
    <w:p/>
    <w:p/>
    <w:p/>
    <w:p/>
    <w:p/>
    <w:p>
      <w:pPr>
        <w:spacing w:after="120"/>
        <w:jc w:val="center"/>
      </w:pPr>
      <w:r>
        <w:rPr>
          <w:rFonts w:ascii="宋体" w:hAnsi="宋体" w:eastAsia="宋体"/>
          <w:b w:val="0"/>
          <w:sz w:val="28"/>
        </w:rPr>
        <w:t>保险行业研究中心</w:t>
      </w:r>
    </w:p>
    <w:p>
      <w:pPr>
        <w:jc w:val="center"/>
      </w:pPr>
      <w:r>
        <w:rPr>
          <w:rFonts w:ascii="宋体" w:hAnsi="宋体" w:eastAsia="宋体"/>
          <w:b w:val="0"/>
          <w:sz w:val="28"/>
        </w:rPr>
        <w:t>2026年7月</w:t>
      </w:r>
    </w:p>
    <w:p>
      <w:r>
        <w:br w:type="page"/>
      </w:r>
    </w:p>
    <w:p>
      <w:pPr>
        <w:pStyle w:val="Heading1"/>
      </w:pPr>
      <w:r>
        <w:rPr>
          <w:rFonts w:ascii="黑体" w:hAnsi="黑体" w:eastAsia="黑体"/>
          <w:b/>
          <w:sz w:val="36"/>
        </w:rPr>
        <w:t>第一章  报告概述</w:t>
      </w:r>
    </w:p>
    <w:p>
      <w:pPr>
        <w:spacing w:line="360" w:lineRule="auto" w:after="80"/>
        <w:ind w:firstLine="442"/>
      </w:pPr>
      <w:r>
        <w:rPr>
          <w:rFonts w:ascii="宋体" w:hAnsi="宋体" w:eastAsia="宋体"/>
          <w:b w:val="0"/>
          <w:sz w:val="22"/>
        </w:rPr>
        <w:t>本报告基于2026年第二季度中国保险行业的运行数据，从市场环境、保费收入、产品创新、渠道分析、风险管理、竞争格局等多个维度对行业进行了系统性调研与分析。本季度调研覆盖全国31个省级行政区的145家保险机构，采集有效样本超过12,000份，力求全面、客观地反映行业运行态势。</w:t>
      </w:r>
    </w:p>
    <w:p>
      <w:pPr>
        <w:spacing w:before="120" w:after="40" w:line="360" w:lineRule="auto"/>
      </w:pPr>
      <w:r>
        <w:rPr>
          <w:rFonts w:ascii="宋体" w:hAnsi="宋体" w:eastAsia="宋体"/>
          <w:b/>
          <w:sz w:val="22"/>
        </w:rPr>
        <w:t>调研背景与目的</w:t>
      </w:r>
    </w:p>
    <w:p>
      <w:pPr>
        <w:pStyle w:val="ListBullet"/>
        <w:spacing w:line="360" w:lineRule="auto" w:after="40"/>
      </w:pPr>
      <w:r/>
      <w:r>
        <w:rPr>
          <w:rFonts w:ascii="宋体" w:hAnsi="宋体" w:eastAsia="宋体"/>
          <w:b w:val="0"/>
          <w:sz w:val="22"/>
        </w:rPr>
        <w:t>跟踪监测保险行业季度运行态势，捕捉市场结构性变化</w:t>
      </w:r>
    </w:p>
    <w:p>
      <w:pPr>
        <w:pStyle w:val="ListBullet"/>
        <w:spacing w:line="360" w:lineRule="auto" w:after="40"/>
      </w:pPr>
      <w:r/>
      <w:r>
        <w:rPr>
          <w:rFonts w:ascii="宋体" w:hAnsi="宋体" w:eastAsia="宋体"/>
          <w:b w:val="0"/>
          <w:sz w:val="22"/>
        </w:rPr>
        <w:t>分析宏观经济与政策环境对保险行业的影响路径</w:t>
      </w:r>
    </w:p>
    <w:p>
      <w:pPr>
        <w:pStyle w:val="ListBullet"/>
        <w:spacing w:line="360" w:lineRule="auto" w:after="40"/>
      </w:pPr>
      <w:r/>
      <w:r>
        <w:rPr>
          <w:rFonts w:ascii="宋体" w:hAnsi="宋体" w:eastAsia="宋体"/>
          <w:b w:val="0"/>
          <w:sz w:val="22"/>
        </w:rPr>
        <w:t>评估产品创新与渠道转型的进展与成效</w:t>
      </w:r>
    </w:p>
    <w:p>
      <w:pPr>
        <w:pStyle w:val="ListBullet"/>
        <w:spacing w:line="360" w:lineRule="auto" w:after="40"/>
      </w:pPr>
      <w:r/>
      <w:r>
        <w:rPr>
          <w:rFonts w:ascii="宋体" w:hAnsi="宋体" w:eastAsia="宋体"/>
          <w:b w:val="0"/>
          <w:sz w:val="22"/>
        </w:rPr>
        <w:t>为行业参与者提供数据支撑与决策参考</w:t>
      </w:r>
    </w:p>
    <w:p>
      <w:pPr>
        <w:spacing w:before="120" w:after="40" w:line="360" w:lineRule="auto"/>
      </w:pPr>
      <w:r>
        <w:rPr>
          <w:rFonts w:ascii="宋体" w:hAnsi="宋体" w:eastAsia="宋体"/>
          <w:b/>
          <w:sz w:val="22"/>
        </w:rPr>
        <w:t>调研范围与方法</w:t>
      </w:r>
    </w:p>
    <w:p>
      <w:pPr>
        <w:pStyle w:val="ListBullet"/>
        <w:spacing w:line="360" w:lineRule="auto" w:after="40"/>
      </w:pPr>
      <w:r/>
      <w:r>
        <w:rPr>
          <w:rFonts w:ascii="宋体" w:hAnsi="宋体" w:eastAsia="宋体"/>
          <w:b w:val="0"/>
          <w:sz w:val="22"/>
        </w:rPr>
        <w:t>数据来源：国家金融监督管理总局公开数据、行业协会统计、企业财报、实地调研访谈</w:t>
      </w:r>
    </w:p>
    <w:p>
      <w:pPr>
        <w:pStyle w:val="ListBullet"/>
        <w:spacing w:line="360" w:lineRule="auto" w:after="40"/>
      </w:pPr>
      <w:r/>
      <w:r>
        <w:rPr>
          <w:rFonts w:ascii="宋体" w:hAnsi="宋体" w:eastAsia="宋体"/>
          <w:b w:val="0"/>
          <w:sz w:val="22"/>
        </w:rPr>
        <w:t>覆盖范围：人身险公司78家、财产险公司67家，涵盖主要保险业态</w:t>
      </w:r>
    </w:p>
    <w:p>
      <w:pPr>
        <w:pStyle w:val="ListBullet"/>
        <w:spacing w:line="360" w:lineRule="auto" w:after="40"/>
      </w:pPr>
      <w:r/>
      <w:r>
        <w:rPr>
          <w:rFonts w:ascii="宋体" w:hAnsi="宋体" w:eastAsia="宋体"/>
          <w:b w:val="0"/>
          <w:sz w:val="22"/>
        </w:rPr>
        <w:t>分析方法：定量分析与定性研究相结合，横向对比与纵向追踪相补充</w:t>
      </w:r>
    </w:p>
    <w:p>
      <w:pPr>
        <w:spacing w:before="120" w:after="40" w:line="360" w:lineRule="auto"/>
      </w:pPr>
      <w:r>
        <w:rPr>
          <w:rFonts w:ascii="宋体" w:hAnsi="宋体" w:eastAsia="宋体"/>
          <w:b/>
          <w:sz w:val="22"/>
        </w:rPr>
        <w:t>核心发现摘要</w:t>
      </w:r>
    </w:p>
    <w:p>
      <w:pPr>
        <w:pStyle w:val="ListBullet"/>
        <w:spacing w:line="360" w:lineRule="auto" w:after="40"/>
      </w:pPr>
      <w:r/>
      <w:r>
        <w:rPr>
          <w:rFonts w:ascii="宋体" w:hAnsi="宋体" w:eastAsia="宋体"/>
          <w:b w:val="0"/>
          <w:sz w:val="22"/>
        </w:rPr>
        <w:t>行业保费收入实现稳健增长，二季度原保险保费收入2.18万亿元，同比增长6.8%</w:t>
      </w:r>
    </w:p>
    <w:p>
      <w:pPr>
        <w:pStyle w:val="ListBullet"/>
        <w:spacing w:line="360" w:lineRule="auto" w:after="40"/>
      </w:pPr>
      <w:r/>
      <w:r>
        <w:rPr>
          <w:rFonts w:ascii="宋体" w:hAnsi="宋体" w:eastAsia="宋体"/>
          <w:b w:val="0"/>
          <w:sz w:val="22"/>
        </w:rPr>
        <w:t>数字化转型加速推进，线上渠道保费占比首次突破20%</w:t>
      </w:r>
    </w:p>
    <w:p>
      <w:pPr>
        <w:pStyle w:val="ListBullet"/>
        <w:spacing w:line="360" w:lineRule="auto" w:after="40"/>
      </w:pPr>
      <w:r/>
      <w:r>
        <w:rPr>
          <w:rFonts w:ascii="宋体" w:hAnsi="宋体" w:eastAsia="宋体"/>
          <w:b w:val="0"/>
          <w:sz w:val="22"/>
        </w:rPr>
        <w:t>健康险持续高增长，同比增幅达12.3%，成为人身险增长核心驱动力</w:t>
      </w:r>
    </w:p>
    <w:p>
      <w:pPr>
        <w:pStyle w:val="ListBullet"/>
        <w:spacing w:line="360" w:lineRule="auto" w:after="40"/>
      </w:pPr>
      <w:r/>
      <w:r>
        <w:rPr>
          <w:rFonts w:ascii="宋体" w:hAnsi="宋体" w:eastAsia="宋体"/>
          <w:b w:val="0"/>
          <w:sz w:val="22"/>
        </w:rPr>
        <w:t>利率下行环境下，险企资产负债管理压力加大，定价利率下调至2.5%</w:t>
      </w:r>
    </w:p>
    <w:p>
      <w:pPr>
        <w:pStyle w:val="ListBullet"/>
        <w:spacing w:line="360" w:lineRule="auto" w:after="40"/>
      </w:pPr>
      <w:r/>
      <w:r>
        <w:rPr>
          <w:rFonts w:ascii="宋体" w:hAnsi="宋体" w:eastAsia="宋体"/>
          <w:b w:val="0"/>
          <w:sz w:val="22"/>
        </w:rPr>
        <w:t>中小险企在细分领域差异化发展，市场份额小幅提升</w:t>
      </w:r>
    </w:p>
    <w:p>
      <w:r>
        <w:br w:type="page"/>
      </w:r>
    </w:p>
    <w:p>
      <w:pPr>
        <w:pStyle w:val="Heading1"/>
      </w:pPr>
      <w:r>
        <w:rPr>
          <w:rFonts w:ascii="黑体" w:hAnsi="黑体" w:eastAsia="黑体"/>
          <w:b/>
          <w:sz w:val="36"/>
        </w:rPr>
        <w:t>第二章  市场宏观环境分析</w:t>
      </w:r>
    </w:p>
    <w:p>
      <w:pPr>
        <w:pStyle w:val="Heading2"/>
      </w:pPr>
      <w:r>
        <w:rPr>
          <w:rFonts w:ascii="黑体" w:hAnsi="黑体" w:eastAsia="黑体"/>
          <w:b/>
          <w:sz w:val="30"/>
        </w:rPr>
        <w:t>2.1  经济政策环境</w:t>
      </w:r>
    </w:p>
    <w:p>
      <w:pPr>
        <w:spacing w:line="360" w:lineRule="auto" w:after="80"/>
        <w:ind w:firstLine="442"/>
      </w:pPr>
      <w:r>
        <w:rPr>
          <w:rFonts w:ascii="宋体" w:hAnsi="宋体" w:eastAsia="宋体"/>
          <w:b w:val="0"/>
          <w:sz w:val="22"/>
        </w:rPr>
        <w:t>本节从宏观经济基本面和保险行业政策两个维度，分析2026年第二季度影响保险行业发展的外部环境因素。宏观经济温和复苏与监管政策持续优化共同构成了行业发展的制度背景。</w:t>
      </w:r>
    </w:p>
    <w:p>
      <w:pPr>
        <w:pStyle w:val="Heading3"/>
      </w:pPr>
      <w:r>
        <w:rPr>
          <w:rFonts w:ascii="黑体" w:hAnsi="黑体" w:eastAsia="黑体"/>
          <w:b/>
          <w:sz w:val="26"/>
        </w:rPr>
        <w:t>2.1.1  宏观经济运行情况</w:t>
      </w:r>
    </w:p>
    <w:p>
      <w:pPr>
        <w:spacing w:line="360" w:lineRule="auto" w:after="80"/>
        <w:ind w:firstLine="442"/>
      </w:pPr>
      <w:r>
        <w:rPr>
          <w:rFonts w:ascii="宋体" w:hAnsi="宋体" w:eastAsia="宋体"/>
          <w:b w:val="0"/>
          <w:sz w:val="22"/>
        </w:rPr>
        <w:t>2026年第二季度，中国经济延续了平稳恢复态势。国家统计局数据显示，二季度GDP同比增长5.1%，环比增长1.3%，经济运行总体保持在合理区间。</w:t>
      </w:r>
    </w:p>
    <w:p>
      <w:pPr>
        <w:spacing w:before="120" w:after="40" w:line="360" w:lineRule="auto"/>
      </w:pPr>
      <w:r>
        <w:rPr>
          <w:rFonts w:ascii="宋体" w:hAnsi="宋体" w:eastAsia="宋体"/>
          <w:b/>
          <w:sz w:val="22"/>
        </w:rPr>
        <w:t>增长结构</w:t>
      </w:r>
    </w:p>
    <w:p>
      <w:pPr>
        <w:pStyle w:val="ListBullet"/>
        <w:spacing w:line="360" w:lineRule="auto" w:after="40"/>
      </w:pPr>
      <w:r/>
      <w:r>
        <w:rPr>
          <w:rFonts w:ascii="宋体" w:hAnsi="宋体" w:eastAsia="宋体"/>
          <w:b w:val="0"/>
          <w:sz w:val="22"/>
        </w:rPr>
        <w:t>消费端：社会消费品零售总额同比增长4.2%，服务消费表现亮眼</w:t>
      </w:r>
    </w:p>
    <w:p>
      <w:pPr>
        <w:pStyle w:val="ListBullet"/>
        <w:spacing w:line="360" w:lineRule="auto" w:after="40"/>
      </w:pPr>
      <w:r/>
      <w:r>
        <w:rPr>
          <w:rFonts w:ascii="宋体" w:hAnsi="宋体" w:eastAsia="宋体"/>
          <w:b w:val="0"/>
          <w:sz w:val="22"/>
        </w:rPr>
        <w:t>投资端：固定资产投资同比增长4.8%，制造业投资增速回升</w:t>
      </w:r>
    </w:p>
    <w:p>
      <w:pPr>
        <w:pStyle w:val="ListBullet"/>
        <w:spacing w:line="360" w:lineRule="auto" w:after="40"/>
      </w:pPr>
      <w:r/>
      <w:r>
        <w:rPr>
          <w:rFonts w:ascii="宋体" w:hAnsi="宋体" w:eastAsia="宋体"/>
          <w:b w:val="0"/>
          <w:sz w:val="22"/>
        </w:rPr>
        <w:t>出口端：货物贸易出口同比增长3.5%，贸易结构持续优化</w:t>
      </w:r>
    </w:p>
    <w:p>
      <w:pPr>
        <w:spacing w:before="120" w:after="40" w:line="360" w:lineRule="auto"/>
      </w:pPr>
      <w:r>
        <w:rPr>
          <w:rFonts w:ascii="宋体" w:hAnsi="宋体" w:eastAsia="宋体"/>
          <w:b/>
          <w:sz w:val="22"/>
        </w:rPr>
        <w:t>物价水平</w:t>
      </w:r>
    </w:p>
    <w:p>
      <w:pPr>
        <w:pStyle w:val="ListBullet"/>
        <w:spacing w:line="360" w:lineRule="auto" w:after="40"/>
      </w:pPr>
      <w:r/>
      <w:r>
        <w:rPr>
          <w:rFonts w:ascii="宋体" w:hAnsi="宋体" w:eastAsia="宋体"/>
          <w:b w:val="0"/>
          <w:sz w:val="22"/>
        </w:rPr>
        <w:t>CPI同比上涨0.8%，通胀水平温和可控</w:t>
      </w:r>
    </w:p>
    <w:p>
      <w:pPr>
        <w:pStyle w:val="ListBullet"/>
        <w:spacing w:line="360" w:lineRule="auto" w:after="40"/>
      </w:pPr>
      <w:r/>
      <w:r>
        <w:rPr>
          <w:rFonts w:ascii="宋体" w:hAnsi="宋体" w:eastAsia="宋体"/>
          <w:b w:val="0"/>
          <w:sz w:val="22"/>
        </w:rPr>
        <w:t>PPI同比下降0.3%，工业品价格仍在低位徘徊</w:t>
      </w:r>
    </w:p>
    <w:p>
      <w:pPr>
        <w:pStyle w:val="ListBullet"/>
        <w:spacing w:line="360" w:lineRule="auto" w:after="40"/>
      </w:pPr>
      <w:r/>
      <w:r>
        <w:rPr>
          <w:rFonts w:ascii="宋体" w:hAnsi="宋体" w:eastAsia="宋体"/>
          <w:b w:val="0"/>
          <w:sz w:val="22"/>
        </w:rPr>
        <w:t>核心CPI同比上涨0.7%，需求端复苏仍有空间</w:t>
      </w:r>
    </w:p>
    <w:p>
      <w:pPr>
        <w:spacing w:before="120" w:after="40" w:line="360" w:lineRule="auto"/>
      </w:pPr>
      <w:r>
        <w:rPr>
          <w:rFonts w:ascii="宋体" w:hAnsi="宋体" w:eastAsia="宋体"/>
          <w:b/>
          <w:sz w:val="22"/>
        </w:rPr>
        <w:t>就业形势</w:t>
      </w:r>
    </w:p>
    <w:p>
      <w:pPr>
        <w:pStyle w:val="ListBullet"/>
        <w:spacing w:line="360" w:lineRule="auto" w:after="40"/>
      </w:pPr>
      <w:r/>
      <w:r>
        <w:rPr>
          <w:rFonts w:ascii="宋体" w:hAnsi="宋体" w:eastAsia="宋体"/>
          <w:b w:val="0"/>
          <w:sz w:val="22"/>
        </w:rPr>
        <w:t>城镇调查失业率均值为5.1%，较一季度下降0.2个百分点</w:t>
      </w:r>
    </w:p>
    <w:p>
      <w:pPr>
        <w:pStyle w:val="ListBullet"/>
        <w:spacing w:line="360" w:lineRule="auto" w:after="40"/>
      </w:pPr>
      <w:r/>
      <w:r>
        <w:rPr>
          <w:rFonts w:ascii="宋体" w:hAnsi="宋体" w:eastAsia="宋体"/>
          <w:b w:val="0"/>
          <w:sz w:val="22"/>
        </w:rPr>
        <w:t>服务业就业吸纳能力增强，新增就业主要来自现代服务业</w:t>
      </w:r>
    </w:p>
    <w:p>
      <w:pPr>
        <w:spacing w:line="360" w:lineRule="auto" w:after="80"/>
        <w:ind w:firstLine="442"/>
      </w:pPr>
      <w:r>
        <w:rPr>
          <w:rFonts w:ascii="宋体" w:hAnsi="宋体" w:eastAsia="宋体"/>
          <w:b w:val="0"/>
          <w:sz w:val="22"/>
        </w:rPr>
        <w:t>宏观经济环境的温和复苏为保险行业奠定了良好基础，居民收入预期的改善有助于提振保险消费意愿。</w:t>
      </w:r>
    </w:p>
    <w:p>
      <w:pPr>
        <w:pStyle w:val="Heading3"/>
      </w:pPr>
      <w:r>
        <w:rPr>
          <w:rFonts w:ascii="黑体" w:hAnsi="黑体" w:eastAsia="黑体"/>
          <w:b/>
          <w:sz w:val="26"/>
        </w:rPr>
        <w:t>2.1.2  保险行业政策动态</w:t>
      </w:r>
    </w:p>
    <w:p>
      <w:pPr>
        <w:spacing w:line="360" w:lineRule="auto" w:after="80"/>
        <w:ind w:firstLine="442"/>
      </w:pPr>
      <w:r>
        <w:rPr>
          <w:rFonts w:ascii="宋体" w:hAnsi="宋体" w:eastAsia="宋体"/>
          <w:b w:val="0"/>
          <w:sz w:val="22"/>
        </w:rPr>
        <w:t>2026年第二季度，监管层围绕防风险、促改革、惠民生三条主线，密集出台了一系列政策措施，对行业格局产生了深远影响。</w:t>
      </w:r>
    </w:p>
    <w:p>
      <w:pPr>
        <w:spacing w:before="120" w:after="40" w:line="360" w:lineRule="auto"/>
      </w:pPr>
      <w:r>
        <w:rPr>
          <w:rFonts w:ascii="宋体" w:hAnsi="宋体" w:eastAsia="宋体"/>
          <w:b/>
          <w:sz w:val="22"/>
        </w:rPr>
        <w:t>监管政策调整</w:t>
      </w:r>
    </w:p>
    <w:p>
      <w:pPr>
        <w:pStyle w:val="ListBullet"/>
        <w:spacing w:line="360" w:lineRule="auto" w:after="40"/>
      </w:pPr>
      <w:r/>
      <w:r>
        <w:rPr>
          <w:rFonts w:ascii="宋体" w:hAnsi="宋体" w:eastAsia="宋体"/>
          <w:b w:val="0"/>
          <w:sz w:val="22"/>
        </w:rPr>
        <w:t>国家金融监督管理总局发布《关于优化保险产品审批流程的通知》，简化了部分险种的备案程序</w:t>
      </w:r>
    </w:p>
    <w:p>
      <w:pPr>
        <w:pStyle w:val="ListBullet"/>
        <w:spacing w:line="360" w:lineRule="auto" w:after="40"/>
      </w:pPr>
      <w:r/>
      <w:r>
        <w:rPr>
          <w:rFonts w:ascii="宋体" w:hAnsi="宋体" w:eastAsia="宋体"/>
          <w:b w:val="0"/>
          <w:sz w:val="22"/>
        </w:rPr>
        <w:t>《保险资金运用管理办法》修订版正式实施，拓宽了险资配置范围</w:t>
      </w:r>
    </w:p>
    <w:p>
      <w:pPr>
        <w:pStyle w:val="ListBullet"/>
        <w:spacing w:line="360" w:lineRule="auto" w:after="40"/>
      </w:pPr>
      <w:r/>
      <w:r>
        <w:rPr>
          <w:rFonts w:ascii="宋体" w:hAnsi="宋体" w:eastAsia="宋体"/>
          <w:b w:val="0"/>
          <w:sz w:val="22"/>
        </w:rPr>
        <w:t>个人养老金制度试点范围扩大至全国，为商业养老保险带来增量空间</w:t>
      </w:r>
    </w:p>
    <w:p>
      <w:pPr>
        <w:spacing w:before="120" w:after="40" w:line="360" w:lineRule="auto"/>
      </w:pPr>
      <w:r>
        <w:rPr>
          <w:rFonts w:ascii="宋体" w:hAnsi="宋体" w:eastAsia="宋体"/>
          <w:b/>
          <w:sz w:val="22"/>
        </w:rPr>
        <w:t>行业规范升级</w:t>
      </w:r>
    </w:p>
    <w:p>
      <w:pPr>
        <w:pStyle w:val="ListBullet"/>
        <w:spacing w:line="360" w:lineRule="auto" w:after="40"/>
      </w:pPr>
      <w:r/>
      <w:r>
        <w:rPr>
          <w:rFonts w:ascii="宋体" w:hAnsi="宋体" w:eastAsia="宋体"/>
          <w:b w:val="0"/>
          <w:sz w:val="22"/>
        </w:rPr>
        <w:t>车险综合改革进入深化期，自主定价系数浮动范围进一步扩大</w:t>
      </w:r>
    </w:p>
    <w:p>
      <w:pPr>
        <w:pStyle w:val="ListBullet"/>
        <w:spacing w:line="360" w:lineRule="auto" w:after="40"/>
      </w:pPr>
      <w:r/>
      <w:r>
        <w:rPr>
          <w:rFonts w:ascii="宋体" w:hAnsi="宋体" w:eastAsia="宋体"/>
          <w:b w:val="0"/>
          <w:sz w:val="22"/>
        </w:rPr>
        <w:t>健康险核保理赔标准统一化推进，行业数据共享机制初步建立</w:t>
      </w:r>
    </w:p>
    <w:p>
      <w:pPr>
        <w:pStyle w:val="ListBullet"/>
        <w:spacing w:line="360" w:lineRule="auto" w:after="40"/>
      </w:pPr>
      <w:r/>
      <w:r>
        <w:rPr>
          <w:rFonts w:ascii="宋体" w:hAnsi="宋体" w:eastAsia="宋体"/>
          <w:b w:val="0"/>
          <w:sz w:val="22"/>
        </w:rPr>
        <w:t>互联网保险监管细则完善，明确平台经营资质和信息披露要求</w:t>
      </w:r>
    </w:p>
    <w:p>
      <w:pPr>
        <w:spacing w:line="360" w:lineRule="auto" w:after="80"/>
        <w:ind w:firstLine="442"/>
      </w:pPr>
      <w:r>
        <w:rPr>
          <w:rFonts w:ascii="宋体" w:hAnsi="宋体" w:eastAsia="宋体"/>
          <w:b w:val="0"/>
          <w:sz w:val="22"/>
        </w:rPr>
        <w:t>政策环境的持续优化为保险行业高质量发展提供了制度保障，同时也对险企的合规经营提出了更高要求。</w:t>
      </w:r>
    </w:p>
    <w:p>
      <w:pPr>
        <w:pStyle w:val="Heading2"/>
      </w:pPr>
      <w:r>
        <w:rPr>
          <w:rFonts w:ascii="黑体" w:hAnsi="黑体" w:eastAsia="黑体"/>
          <w:b/>
          <w:sz w:val="30"/>
        </w:rPr>
        <w:t>2.2  利率与资金面</w:t>
      </w:r>
    </w:p>
    <w:p>
      <w:pPr>
        <w:spacing w:line="360" w:lineRule="auto" w:after="80"/>
        <w:ind w:firstLine="442"/>
      </w:pPr>
      <w:r>
        <w:rPr>
          <w:rFonts w:ascii="宋体" w:hAnsi="宋体" w:eastAsia="宋体"/>
          <w:b w:val="0"/>
          <w:sz w:val="22"/>
        </w:rPr>
        <w:t>利率环境是影响保险行业经营的核心变量之一。本季度利率走势呈现出"低位平稳、结构分化"的特征，对险企的资产配置和负债端定价均产生了深远影响。</w:t>
      </w:r>
    </w:p>
    <w:p>
      <w:pPr>
        <w:pStyle w:val="Heading3"/>
      </w:pPr>
      <w:r>
        <w:rPr>
          <w:rFonts w:ascii="黑体" w:hAnsi="黑体" w:eastAsia="黑体"/>
          <w:b/>
          <w:sz w:val="26"/>
        </w:rPr>
        <w:t>2.2.1  利率走势分析</w:t>
      </w:r>
    </w:p>
    <w:p>
      <w:pPr>
        <w:spacing w:before="120" w:after="40" w:line="360" w:lineRule="auto"/>
      </w:pPr>
      <w:r>
        <w:rPr>
          <w:rFonts w:ascii="宋体" w:hAnsi="宋体" w:eastAsia="宋体"/>
          <w:b/>
          <w:sz w:val="22"/>
        </w:rPr>
        <w:t>市场利率水平</w:t>
      </w:r>
    </w:p>
    <w:p>
      <w:pPr>
        <w:pStyle w:val="ListBullet"/>
        <w:spacing w:line="360" w:lineRule="auto" w:after="40"/>
      </w:pPr>
      <w:r/>
      <w:r>
        <w:rPr>
          <w:rFonts w:ascii="宋体" w:hAnsi="宋体" w:eastAsia="宋体"/>
          <w:b w:val="0"/>
          <w:sz w:val="22"/>
        </w:rPr>
        <w:t>1年期LPR维持在3.10%，5年期以上LPR为3.60%，与一季度持平</w:t>
      </w:r>
    </w:p>
    <w:p>
      <w:pPr>
        <w:pStyle w:val="ListBullet"/>
        <w:spacing w:line="360" w:lineRule="auto" w:after="40"/>
      </w:pPr>
      <w:r/>
      <w:r>
        <w:rPr>
          <w:rFonts w:ascii="宋体" w:hAnsi="宋体" w:eastAsia="宋体"/>
          <w:b w:val="0"/>
          <w:sz w:val="22"/>
        </w:rPr>
        <w:t>10年期国债收益率在2.35%-2.50%区间波动，均值较一季度下行约5个基点</w:t>
      </w:r>
    </w:p>
    <w:p>
      <w:pPr>
        <w:pStyle w:val="ListBullet"/>
        <w:spacing w:line="360" w:lineRule="auto" w:after="40"/>
      </w:pPr>
      <w:r/>
      <w:r>
        <w:rPr>
          <w:rFonts w:ascii="宋体" w:hAnsi="宋体" w:eastAsia="宋体"/>
          <w:b w:val="0"/>
          <w:sz w:val="22"/>
        </w:rPr>
        <w:t>货币市场利率中枢稳定，DR007均值在1.85%左右</w:t>
      </w:r>
    </w:p>
    <w:p>
      <w:pPr>
        <w:spacing w:before="120" w:after="40" w:line="360" w:lineRule="auto"/>
      </w:pPr>
      <w:r>
        <w:rPr>
          <w:rFonts w:ascii="宋体" w:hAnsi="宋体" w:eastAsia="宋体"/>
          <w:b/>
          <w:sz w:val="22"/>
        </w:rPr>
        <w:t>对保险行业的影响</w:t>
      </w:r>
    </w:p>
    <w:p>
      <w:pPr>
        <w:pStyle w:val="ListBullet"/>
        <w:spacing w:line="360" w:lineRule="auto" w:after="40"/>
      </w:pPr>
      <w:r/>
      <w:r>
        <w:rPr>
          <w:rFonts w:ascii="宋体" w:hAnsi="宋体" w:eastAsia="宋体"/>
          <w:b w:val="0"/>
          <w:sz w:val="22"/>
        </w:rPr>
        <w:t>新单定价利率：监管引导传统寿险产品定价利率上限下调至2.5%，分红险和万能险吸引力相对提升</w:t>
      </w:r>
    </w:p>
    <w:p>
      <w:pPr>
        <w:pStyle w:val="ListBullet"/>
        <w:spacing w:line="360" w:lineRule="auto" w:after="40"/>
      </w:pPr>
      <w:r/>
      <w:r>
        <w:rPr>
          <w:rFonts w:ascii="宋体" w:hAnsi="宋体" w:eastAsia="宋体"/>
          <w:b w:val="0"/>
          <w:sz w:val="22"/>
        </w:rPr>
        <w:t>存量业务压力：高利率存量保单的利差损风险需持续关注</w:t>
      </w:r>
    </w:p>
    <w:p>
      <w:pPr>
        <w:pStyle w:val="ListBullet"/>
        <w:spacing w:line="360" w:lineRule="auto" w:after="40"/>
      </w:pPr>
      <w:r/>
      <w:r>
        <w:rPr>
          <w:rFonts w:ascii="宋体" w:hAnsi="宋体" w:eastAsia="宋体"/>
          <w:b w:val="0"/>
          <w:sz w:val="22"/>
        </w:rPr>
        <w:t>资产配置调整：险企增配长久期利率债和优质信用债，拉长资产久期</w:t>
      </w:r>
    </w:p>
    <w:p>
      <w:pPr>
        <w:spacing w:line="360" w:lineRule="auto" w:after="80"/>
        <w:ind w:firstLine="442"/>
      </w:pPr>
      <w:r>
        <w:rPr>
          <w:rFonts w:ascii="宋体" w:hAnsi="宋体" w:eastAsia="宋体"/>
          <w:b w:val="0"/>
          <w:sz w:val="22"/>
        </w:rPr>
        <w:t>利率下行环境中，险企的资产负债匹配管理面临挑战，也催生了产品结构和投资策略的主动调整。</w:t>
      </w:r>
    </w:p>
    <w:p>
      <w:pPr>
        <w:pStyle w:val="Heading2"/>
      </w:pPr>
      <w:r>
        <w:rPr>
          <w:rFonts w:ascii="黑体" w:hAnsi="黑体" w:eastAsia="黑体"/>
          <w:b/>
          <w:sz w:val="30"/>
        </w:rPr>
        <w:t>2.3  区域市场发展</w:t>
      </w:r>
    </w:p>
    <w:p>
      <w:pPr>
        <w:spacing w:line="360" w:lineRule="auto" w:after="80"/>
        <w:ind w:firstLine="442"/>
      </w:pPr>
      <w:r>
        <w:rPr>
          <w:rFonts w:ascii="宋体" w:hAnsi="宋体" w:eastAsia="宋体"/>
          <w:b w:val="0"/>
          <w:sz w:val="22"/>
        </w:rPr>
        <w:t>区域市场发展的不平衡是中国保险行业的一个显著特征。本季度数据显示，各区域保费增长呈现分化态势，中西部地区增速领先。</w:t>
      </w:r>
    </w:p>
    <w:p>
      <w:pPr>
        <w:pStyle w:val="Heading3"/>
      </w:pPr>
      <w:r>
        <w:rPr>
          <w:rFonts w:ascii="黑体" w:hAnsi="黑体" w:eastAsia="黑体"/>
          <w:b/>
          <w:sz w:val="26"/>
        </w:rPr>
        <w:t>2.3.1  区域保费分布特征</w:t>
      </w:r>
    </w:p>
    <w:p>
      <w:pPr>
        <w:spacing w:before="120" w:after="40" w:line="360" w:lineRule="auto"/>
      </w:pPr>
      <w:r>
        <w:rPr>
          <w:rFonts w:ascii="宋体" w:hAnsi="宋体" w:eastAsia="宋体"/>
          <w:b/>
          <w:sz w:val="22"/>
        </w:rPr>
        <w:t>区域分化格局</w:t>
      </w:r>
    </w:p>
    <w:p>
      <w:pPr>
        <w:pStyle w:val="ListBullet"/>
        <w:spacing w:line="360" w:lineRule="auto" w:after="40"/>
      </w:pPr>
      <w:r/>
      <w:r>
        <w:rPr>
          <w:rFonts w:ascii="宋体" w:hAnsi="宋体" w:eastAsia="宋体"/>
          <w:b w:val="0"/>
          <w:sz w:val="22"/>
        </w:rPr>
        <w:t>东部沿海地区保费收入占全国总量的58.3%，但增速放缓至4.5%</w:t>
      </w:r>
    </w:p>
    <w:p>
      <w:pPr>
        <w:pStyle w:val="ListBullet"/>
        <w:spacing w:line="360" w:lineRule="auto" w:after="40"/>
      </w:pPr>
      <w:r/>
      <w:r>
        <w:rPr>
          <w:rFonts w:ascii="宋体" w:hAnsi="宋体" w:eastAsia="宋体"/>
          <w:b w:val="0"/>
          <w:sz w:val="22"/>
        </w:rPr>
        <w:t>中部地区保费增速领先，同比增长8.2%，占比提升至22.1%</w:t>
      </w:r>
    </w:p>
    <w:p>
      <w:pPr>
        <w:pStyle w:val="ListBullet"/>
        <w:spacing w:line="360" w:lineRule="auto" w:after="40"/>
      </w:pPr>
      <w:r/>
      <w:r>
        <w:rPr>
          <w:rFonts w:ascii="宋体" w:hAnsi="宋体" w:eastAsia="宋体"/>
          <w:b w:val="0"/>
          <w:sz w:val="22"/>
        </w:rPr>
        <w:t>西部地区保持稳定增长，同比增长7.1%，政策性保险贡献显著</w:t>
      </w:r>
    </w:p>
    <w:p>
      <w:pPr>
        <w:spacing w:before="120" w:after="40" w:line="360" w:lineRule="auto"/>
      </w:pPr>
      <w:r>
        <w:rPr>
          <w:rFonts w:ascii="宋体" w:hAnsi="宋体" w:eastAsia="宋体"/>
          <w:b/>
          <w:sz w:val="22"/>
        </w:rPr>
        <w:t>城乡差异</w:t>
      </w:r>
    </w:p>
    <w:p>
      <w:pPr>
        <w:pStyle w:val="ListBullet"/>
        <w:spacing w:line="360" w:lineRule="auto" w:after="40"/>
      </w:pPr>
      <w:r/>
      <w:r>
        <w:rPr>
          <w:rFonts w:ascii="宋体" w:hAnsi="宋体" w:eastAsia="宋体"/>
          <w:b w:val="0"/>
          <w:sz w:val="22"/>
        </w:rPr>
        <w:t>一线城市人均保费支出达6,200元，保险密度远高于全国平均水平</w:t>
      </w:r>
    </w:p>
    <w:p>
      <w:pPr>
        <w:pStyle w:val="ListBullet"/>
        <w:spacing w:line="360" w:lineRule="auto" w:after="40"/>
      </w:pPr>
      <w:r/>
      <w:r>
        <w:rPr>
          <w:rFonts w:ascii="宋体" w:hAnsi="宋体" w:eastAsia="宋体"/>
          <w:b w:val="0"/>
          <w:sz w:val="22"/>
        </w:rPr>
        <w:t>县域及农村市场渗透率不足15%，但增速达10.5%，潜力巨大</w:t>
      </w:r>
    </w:p>
    <w:p>
      <w:pPr>
        <w:pStyle w:val="ListBullet"/>
        <w:spacing w:line="360" w:lineRule="auto" w:after="40"/>
      </w:pPr>
      <w:r/>
      <w:r>
        <w:rPr>
          <w:rFonts w:ascii="宋体" w:hAnsi="宋体" w:eastAsia="宋体"/>
          <w:b w:val="0"/>
          <w:sz w:val="22"/>
        </w:rPr>
        <w:t>县域保险产品供给不足，专属产品设计有待加强</w:t>
      </w:r>
    </w:p>
    <w:p>
      <w:pPr>
        <w:spacing w:line="360" w:lineRule="auto" w:after="80"/>
        <w:ind w:firstLine="442"/>
      </w:pPr>
      <w:r>
        <w:rPr>
          <w:rFonts w:ascii="宋体" w:hAnsi="宋体" w:eastAsia="宋体"/>
          <w:b w:val="0"/>
          <w:sz w:val="22"/>
        </w:rPr>
        <w:t>区域市场的差异化特征要求险企制定针对性的市场策略，在发达地区注重产品创新与服务升级，在欠发达地区加大渠道下沉和普惠保险推广力度。</w:t>
      </w:r>
    </w:p>
    <w:p>
      <w:r>
        <w:br w:type="page"/>
      </w:r>
    </w:p>
    <w:p>
      <w:pPr>
        <w:pStyle w:val="Heading1"/>
      </w:pPr>
      <w:r>
        <w:rPr>
          <w:rFonts w:ascii="黑体" w:hAnsi="黑体" w:eastAsia="黑体"/>
          <w:b/>
          <w:sz w:val="36"/>
        </w:rPr>
        <w:t>第三章  保费收入与增长态势</w:t>
      </w:r>
    </w:p>
    <w:p>
      <w:pPr>
        <w:pStyle w:val="Heading2"/>
      </w:pPr>
      <w:r>
        <w:rPr>
          <w:rFonts w:ascii="黑体" w:hAnsi="黑体" w:eastAsia="黑体"/>
          <w:b/>
          <w:sz w:val="30"/>
        </w:rPr>
        <w:t>3.1  整体保费规模</w:t>
      </w:r>
    </w:p>
    <w:p>
      <w:pPr>
        <w:spacing w:line="360" w:lineRule="auto" w:after="80"/>
        <w:ind w:firstLine="442"/>
      </w:pPr>
      <w:r>
        <w:rPr>
          <w:rFonts w:ascii="宋体" w:hAnsi="宋体" w:eastAsia="宋体"/>
          <w:b w:val="0"/>
          <w:sz w:val="22"/>
        </w:rPr>
        <w:t>2026年第二季度，保险行业保费收入总体保持稳健增长，但增速较一季度有所回落。全行业原保险保费收入达到2.18万亿元，同比增长6.8%。</w:t>
      </w:r>
    </w:p>
    <w:p>
      <w:pPr>
        <w:pStyle w:val="Heading3"/>
      </w:pPr>
      <w:r>
        <w:rPr>
          <w:rFonts w:ascii="黑体" w:hAnsi="黑体" w:eastAsia="黑体"/>
          <w:b/>
          <w:sz w:val="26"/>
        </w:rPr>
        <w:t>3.1.1  原保险保费收入</w:t>
      </w:r>
    </w:p>
    <w:p>
      <w:pPr>
        <w:spacing w:line="360" w:lineRule="auto" w:after="80"/>
        <w:ind w:firstLine="442"/>
      </w:pPr>
      <w:r>
        <w:rPr>
          <w:rFonts w:ascii="宋体" w:hAnsi="宋体" w:eastAsia="宋体"/>
          <w:b w:val="0"/>
          <w:sz w:val="22"/>
        </w:rPr>
        <w:t>二季度，全行业实现原保险保费收入2.18万亿元，同比增长6.8%。其中，人身险公司保费收入1.67万亿元，同比增长7.2%；财产险公司保费收入5,100亿元，同比增长5.5%。</w:t>
      </w:r>
    </w:p>
    <w:p>
      <w:pPr>
        <w:spacing w:before="120" w:after="40" w:line="360" w:lineRule="auto"/>
      </w:pPr>
      <w:r>
        <w:rPr>
          <w:rFonts w:ascii="宋体" w:hAnsi="宋体" w:eastAsia="宋体"/>
          <w:b/>
          <w:sz w:val="22"/>
        </w:rPr>
        <w:t>月度走势</w:t>
      </w:r>
    </w:p>
    <w:p>
      <w:pPr>
        <w:pStyle w:val="ListBullet"/>
        <w:spacing w:line="360" w:lineRule="auto" w:after="40"/>
      </w:pPr>
      <w:r/>
      <w:r>
        <w:rPr>
          <w:rFonts w:ascii="宋体" w:hAnsi="宋体" w:eastAsia="宋体"/>
          <w:b w:val="0"/>
          <w:sz w:val="22"/>
        </w:rPr>
        <w:t>4月保费收入6,800亿元，受"开门红"后效应影响，环比回落12%</w:t>
      </w:r>
    </w:p>
    <w:p>
      <w:pPr>
        <w:pStyle w:val="ListBullet"/>
        <w:spacing w:line="360" w:lineRule="auto" w:after="40"/>
      </w:pPr>
      <w:r/>
      <w:r>
        <w:rPr>
          <w:rFonts w:ascii="宋体" w:hAnsi="宋体" w:eastAsia="宋体"/>
          <w:b w:val="0"/>
          <w:sz w:val="22"/>
        </w:rPr>
        <w:t>5月保费收入7,200亿元，企稳回升，健康险和养老险贡献主要增量</w:t>
      </w:r>
    </w:p>
    <w:p>
      <w:pPr>
        <w:pStyle w:val="ListBullet"/>
        <w:spacing w:line="360" w:lineRule="auto" w:after="40"/>
      </w:pPr>
      <w:r/>
      <w:r>
        <w:rPr>
          <w:rFonts w:ascii="宋体" w:hAnsi="宋体" w:eastAsia="宋体"/>
          <w:b w:val="0"/>
          <w:sz w:val="22"/>
        </w:rPr>
        <w:t>6月保费收入7,800亿元，半年末冲量效应明显，银保渠道发力</w:t>
      </w:r>
    </w:p>
    <w:p>
      <w:pPr>
        <w:spacing w:before="160" w:after="80"/>
        <w:jc w:val="center"/>
      </w:pPr>
      <w:r>
        <w:drawing>
          <wp:inline xmlns:a="http://schemas.openxmlformats.org/drawingml/2006/main" xmlns:pic="http://schemas.openxmlformats.org/drawingml/2006/picture">
            <wp:extent cx="5040000" cy="2495973"/>
            <wp:docPr id="1" name="Picture 1"/>
            <wp:cNvGraphicFramePr>
              <a:graphicFrameLocks noChangeAspect="1"/>
            </wp:cNvGraphicFramePr>
            <a:graphic>
              <a:graphicData uri="http://schemas.openxmlformats.org/drawingml/2006/picture">
                <pic:pic>
                  <pic:nvPicPr>
                    <pic:cNvPr id="0" name="fig1_保费收入趋势.png"/>
                    <pic:cNvPicPr/>
                  </pic:nvPicPr>
                  <pic:blipFill>
                    <a:blip r:embed="rId10"/>
                    <a:stretch>
                      <a:fillRect/>
                    </a:stretch>
                  </pic:blipFill>
                  <pic:spPr>
                    <a:xfrm>
                      <a:off x="0" y="0"/>
                      <a:ext cx="5040000" cy="2495973"/>
                    </a:xfrm>
                    <a:prstGeom prst="rect"/>
                  </pic:spPr>
                </pic:pic>
              </a:graphicData>
            </a:graphic>
          </wp:inline>
        </w:drawing>
      </w:r>
    </w:p>
    <w:p>
      <w:pPr>
        <w:spacing w:after="160"/>
        <w:jc w:val="center"/>
      </w:pPr>
      <w:r>
        <w:rPr>
          <w:rFonts w:ascii="宋体" w:hAnsi="宋体" w:eastAsia="宋体"/>
          <w:b/>
          <w:color w:val="666666"/>
          <w:sz w:val="20"/>
        </w:rPr>
        <w:t>图1：2024-2026年季度保费收入趋势</w:t>
      </w:r>
    </w:p>
    <w:p>
      <w:pPr>
        <w:spacing w:before="120" w:after="40" w:line="360" w:lineRule="auto"/>
      </w:pPr>
      <w:r>
        <w:rPr>
          <w:rFonts w:ascii="宋体" w:hAnsi="宋体" w:eastAsia="宋体"/>
          <w:b/>
          <w:sz w:val="22"/>
        </w:rPr>
        <w:t>结构变化</w:t>
      </w:r>
    </w:p>
    <w:p>
      <w:pPr>
        <w:pStyle w:val="ListBullet"/>
        <w:spacing w:line="360" w:lineRule="auto" w:after="40"/>
      </w:pPr>
      <w:r/>
      <w:r>
        <w:rPr>
          <w:rFonts w:ascii="宋体" w:hAnsi="宋体" w:eastAsia="宋体"/>
          <w:b w:val="0"/>
          <w:sz w:val="22"/>
        </w:rPr>
        <w:t>新单保费占比38.5%，较去年同期下降1.2个百分点</w:t>
      </w:r>
    </w:p>
    <w:p>
      <w:pPr>
        <w:pStyle w:val="ListBullet"/>
        <w:spacing w:line="360" w:lineRule="auto" w:after="40"/>
      </w:pPr>
      <w:r/>
      <w:r>
        <w:rPr>
          <w:rFonts w:ascii="宋体" w:hAnsi="宋体" w:eastAsia="宋体"/>
          <w:b w:val="0"/>
          <w:sz w:val="22"/>
        </w:rPr>
        <w:t>续期保费占比61.5%，业务结构更趋稳健</w:t>
      </w:r>
    </w:p>
    <w:p>
      <w:pPr>
        <w:pStyle w:val="ListBullet"/>
        <w:spacing w:line="360" w:lineRule="auto" w:after="40"/>
      </w:pPr>
      <w:r/>
      <w:r>
        <w:rPr>
          <w:rFonts w:ascii="宋体" w:hAnsi="宋体" w:eastAsia="宋体"/>
          <w:b w:val="0"/>
          <w:sz w:val="22"/>
        </w:rPr>
        <w:t>长期险业务占比稳定在72%以上</w:t>
      </w:r>
    </w:p>
    <w:p>
      <w:pPr>
        <w:pStyle w:val="Heading3"/>
      </w:pPr>
      <w:r>
        <w:rPr>
          <w:rFonts w:ascii="黑体" w:hAnsi="黑体" w:eastAsia="黑体"/>
          <w:b/>
          <w:sz w:val="26"/>
        </w:rPr>
        <w:t>3.1.2  赔付支出情况</w:t>
      </w:r>
    </w:p>
    <w:p>
      <w:pPr>
        <w:spacing w:line="360" w:lineRule="auto" w:after="80"/>
        <w:ind w:firstLine="442"/>
      </w:pPr>
      <w:r>
        <w:rPr>
          <w:rFonts w:ascii="宋体" w:hAnsi="宋体" w:eastAsia="宋体"/>
          <w:b w:val="0"/>
          <w:sz w:val="22"/>
        </w:rPr>
        <w:t>二季度，全行业赔付支出6,850亿元，同比增长8.1%，赔付增速高于保费增速，反映出理赔压力有所上升。</w:t>
      </w:r>
    </w:p>
    <w:p>
      <w:pPr>
        <w:spacing w:before="160" w:after="80"/>
        <w:jc w:val="center"/>
      </w:pPr>
      <w:r>
        <w:rPr>
          <w:rFonts w:ascii="宋体" w:hAnsi="宋体" w:eastAsia="宋体"/>
          <w:b/>
          <w:color w:val="666666"/>
          <w:sz w:val="20"/>
        </w:rPr>
        <w:t>表1：2026年Q2分险种赔付情况</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fill="D9E2F3"/>
          </w:tcPr>
          <w:p>
            <w:pPr>
              <w:jc w:val="center"/>
            </w:pPr>
            <w:r/>
            <w:r>
              <w:rPr>
                <w:rFonts w:ascii="宋体" w:hAnsi="宋体" w:eastAsia="宋体"/>
                <w:b/>
                <w:sz w:val="21"/>
              </w:rPr>
              <w:t>险种类别</w:t>
            </w:r>
          </w:p>
        </w:tc>
        <w:tc>
          <w:tcPr>
            <w:tcW w:type="dxa" w:w="2075"/>
            <w:shd w:fill="D9E2F3"/>
          </w:tcPr>
          <w:p>
            <w:pPr>
              <w:jc w:val="center"/>
            </w:pPr>
            <w:r/>
            <w:r>
              <w:rPr>
                <w:rFonts w:ascii="宋体" w:hAnsi="宋体" w:eastAsia="宋体"/>
                <w:b/>
                <w:sz w:val="21"/>
              </w:rPr>
              <w:t>赔付支出(亿元)</w:t>
            </w:r>
          </w:p>
        </w:tc>
        <w:tc>
          <w:tcPr>
            <w:tcW w:type="dxa" w:w="2075"/>
            <w:shd w:fill="D9E2F3"/>
          </w:tcPr>
          <w:p>
            <w:pPr>
              <w:jc w:val="center"/>
            </w:pPr>
            <w:r/>
            <w:r>
              <w:rPr>
                <w:rFonts w:ascii="宋体" w:hAnsi="宋体" w:eastAsia="宋体"/>
                <w:b/>
                <w:sz w:val="21"/>
              </w:rPr>
              <w:t>同比增长</w:t>
            </w:r>
          </w:p>
        </w:tc>
        <w:tc>
          <w:tcPr>
            <w:tcW w:type="dxa" w:w="2075"/>
            <w:shd w:fill="D9E2F3"/>
          </w:tcPr>
          <w:p>
            <w:pPr>
              <w:jc w:val="center"/>
            </w:pPr>
            <w:r/>
            <w:r>
              <w:rPr>
                <w:rFonts w:ascii="宋体" w:hAnsi="宋体" w:eastAsia="宋体"/>
                <w:b/>
                <w:sz w:val="21"/>
              </w:rPr>
              <w:t>赔付率</w:t>
            </w:r>
          </w:p>
        </w:tc>
      </w:tr>
      <w:tr>
        <w:tc>
          <w:tcPr>
            <w:tcW w:type="dxa" w:w="2075"/>
          </w:tcPr>
          <w:p>
            <w:pPr>
              <w:jc w:val="center"/>
            </w:pPr>
            <w:r/>
            <w:r>
              <w:rPr>
                <w:rFonts w:ascii="宋体" w:hAnsi="宋体" w:eastAsia="宋体"/>
                <w:b w:val="0"/>
                <w:sz w:val="21"/>
              </w:rPr>
              <w:t>寿险</w:t>
            </w:r>
          </w:p>
        </w:tc>
        <w:tc>
          <w:tcPr>
            <w:tcW w:type="dxa" w:w="2075"/>
          </w:tcPr>
          <w:p>
            <w:pPr>
              <w:jc w:val="center"/>
            </w:pPr>
            <w:r/>
            <w:r>
              <w:rPr>
                <w:rFonts w:ascii="宋体" w:hAnsi="宋体" w:eastAsia="宋体"/>
                <w:b w:val="0"/>
                <w:sz w:val="21"/>
              </w:rPr>
              <w:t>3,200</w:t>
            </w:r>
          </w:p>
        </w:tc>
        <w:tc>
          <w:tcPr>
            <w:tcW w:type="dxa" w:w="2075"/>
          </w:tcPr>
          <w:p>
            <w:pPr>
              <w:jc w:val="center"/>
            </w:pPr>
            <w:r/>
            <w:r>
              <w:rPr>
                <w:rFonts w:ascii="宋体" w:hAnsi="宋体" w:eastAsia="宋体"/>
                <w:b w:val="0"/>
                <w:sz w:val="21"/>
              </w:rPr>
              <w:t>6.5%</w:t>
            </w:r>
          </w:p>
        </w:tc>
        <w:tc>
          <w:tcPr>
            <w:tcW w:type="dxa" w:w="2075"/>
          </w:tcPr>
          <w:p>
            <w:pPr>
              <w:jc w:val="center"/>
            </w:pPr>
            <w:r/>
            <w:r>
              <w:rPr>
                <w:rFonts w:ascii="宋体" w:hAnsi="宋体" w:eastAsia="宋体"/>
                <w:b w:val="0"/>
                <w:sz w:val="21"/>
              </w:rPr>
              <w:t>28.5%</w:t>
            </w:r>
          </w:p>
        </w:tc>
      </w:tr>
      <w:tr>
        <w:tc>
          <w:tcPr>
            <w:tcW w:type="dxa" w:w="2075"/>
          </w:tcPr>
          <w:p>
            <w:pPr>
              <w:jc w:val="center"/>
            </w:pPr>
            <w:r/>
            <w:r>
              <w:rPr>
                <w:rFonts w:ascii="宋体" w:hAnsi="宋体" w:eastAsia="宋体"/>
                <w:b w:val="0"/>
                <w:sz w:val="21"/>
              </w:rPr>
              <w:t>健康险</w:t>
            </w:r>
          </w:p>
        </w:tc>
        <w:tc>
          <w:tcPr>
            <w:tcW w:type="dxa" w:w="2075"/>
          </w:tcPr>
          <w:p>
            <w:pPr>
              <w:jc w:val="center"/>
            </w:pPr>
            <w:r/>
            <w:r>
              <w:rPr>
                <w:rFonts w:ascii="宋体" w:hAnsi="宋体" w:eastAsia="宋体"/>
                <w:b w:val="0"/>
                <w:sz w:val="21"/>
              </w:rPr>
              <w:t>2,150</w:t>
            </w:r>
          </w:p>
        </w:tc>
        <w:tc>
          <w:tcPr>
            <w:tcW w:type="dxa" w:w="2075"/>
          </w:tcPr>
          <w:p>
            <w:pPr>
              <w:jc w:val="center"/>
            </w:pPr>
            <w:r/>
            <w:r>
              <w:rPr>
                <w:rFonts w:ascii="宋体" w:hAnsi="宋体" w:eastAsia="宋体"/>
                <w:b w:val="0"/>
                <w:sz w:val="21"/>
              </w:rPr>
              <w:t>12.8%</w:t>
            </w:r>
          </w:p>
        </w:tc>
        <w:tc>
          <w:tcPr>
            <w:tcW w:type="dxa" w:w="2075"/>
          </w:tcPr>
          <w:p>
            <w:pPr>
              <w:jc w:val="center"/>
            </w:pPr>
            <w:r/>
            <w:r>
              <w:rPr>
                <w:rFonts w:ascii="宋体" w:hAnsi="宋体" w:eastAsia="宋体"/>
                <w:b w:val="0"/>
                <w:sz w:val="21"/>
              </w:rPr>
              <w:t>38.2%</w:t>
            </w:r>
          </w:p>
        </w:tc>
      </w:tr>
      <w:tr>
        <w:tc>
          <w:tcPr>
            <w:tcW w:type="dxa" w:w="2075"/>
          </w:tcPr>
          <w:p>
            <w:pPr>
              <w:jc w:val="center"/>
            </w:pPr>
            <w:r/>
            <w:r>
              <w:rPr>
                <w:rFonts w:ascii="宋体" w:hAnsi="宋体" w:eastAsia="宋体"/>
                <w:b w:val="0"/>
                <w:sz w:val="21"/>
              </w:rPr>
              <w:t>意外险</w:t>
            </w:r>
          </w:p>
        </w:tc>
        <w:tc>
          <w:tcPr>
            <w:tcW w:type="dxa" w:w="2075"/>
          </w:tcPr>
          <w:p>
            <w:pPr>
              <w:jc w:val="center"/>
            </w:pPr>
            <w:r/>
            <w:r>
              <w:rPr>
                <w:rFonts w:ascii="宋体" w:hAnsi="宋体" w:eastAsia="宋体"/>
                <w:b w:val="0"/>
                <w:sz w:val="21"/>
              </w:rPr>
              <w:t>180</w:t>
            </w:r>
          </w:p>
        </w:tc>
        <w:tc>
          <w:tcPr>
            <w:tcW w:type="dxa" w:w="2075"/>
          </w:tcPr>
          <w:p>
            <w:pPr>
              <w:jc w:val="center"/>
            </w:pPr>
            <w:r/>
            <w:r>
              <w:rPr>
                <w:rFonts w:ascii="宋体" w:hAnsi="宋体" w:eastAsia="宋体"/>
                <w:b w:val="0"/>
                <w:sz w:val="21"/>
              </w:rPr>
              <w:t>3.2%</w:t>
            </w:r>
          </w:p>
        </w:tc>
        <w:tc>
          <w:tcPr>
            <w:tcW w:type="dxa" w:w="2075"/>
          </w:tcPr>
          <w:p>
            <w:pPr>
              <w:jc w:val="center"/>
            </w:pPr>
            <w:r/>
            <w:r>
              <w:rPr>
                <w:rFonts w:ascii="宋体" w:hAnsi="宋体" w:eastAsia="宋体"/>
                <w:b w:val="0"/>
                <w:sz w:val="21"/>
              </w:rPr>
              <w:t>22.1%</w:t>
            </w:r>
          </w:p>
        </w:tc>
      </w:tr>
      <w:tr>
        <w:tc>
          <w:tcPr>
            <w:tcW w:type="dxa" w:w="2075"/>
          </w:tcPr>
          <w:p>
            <w:pPr>
              <w:jc w:val="center"/>
            </w:pPr>
            <w:r/>
            <w:r>
              <w:rPr>
                <w:rFonts w:ascii="宋体" w:hAnsi="宋体" w:eastAsia="宋体"/>
                <w:b w:val="0"/>
                <w:sz w:val="21"/>
              </w:rPr>
              <w:t>车险</w:t>
            </w:r>
          </w:p>
        </w:tc>
        <w:tc>
          <w:tcPr>
            <w:tcW w:type="dxa" w:w="2075"/>
          </w:tcPr>
          <w:p>
            <w:pPr>
              <w:jc w:val="center"/>
            </w:pPr>
            <w:r/>
            <w:r>
              <w:rPr>
                <w:rFonts w:ascii="宋体" w:hAnsi="宋体" w:eastAsia="宋体"/>
                <w:b w:val="0"/>
                <w:sz w:val="21"/>
              </w:rPr>
              <w:t>1,050</w:t>
            </w:r>
          </w:p>
        </w:tc>
        <w:tc>
          <w:tcPr>
            <w:tcW w:type="dxa" w:w="2075"/>
          </w:tcPr>
          <w:p>
            <w:pPr>
              <w:jc w:val="center"/>
            </w:pPr>
            <w:r/>
            <w:r>
              <w:rPr>
                <w:rFonts w:ascii="宋体" w:hAnsi="宋体" w:eastAsia="宋体"/>
                <w:b w:val="0"/>
                <w:sz w:val="21"/>
              </w:rPr>
              <w:t>5.1%</w:t>
            </w:r>
          </w:p>
        </w:tc>
        <w:tc>
          <w:tcPr>
            <w:tcW w:type="dxa" w:w="2075"/>
          </w:tcPr>
          <w:p>
            <w:pPr>
              <w:jc w:val="center"/>
            </w:pPr>
            <w:r/>
            <w:r>
              <w:rPr>
                <w:rFonts w:ascii="宋体" w:hAnsi="宋体" w:eastAsia="宋体"/>
                <w:b w:val="0"/>
                <w:sz w:val="21"/>
              </w:rPr>
              <w:t>61.3%</w:t>
            </w:r>
          </w:p>
        </w:tc>
      </w:tr>
      <w:tr>
        <w:tc>
          <w:tcPr>
            <w:tcW w:type="dxa" w:w="2075"/>
          </w:tcPr>
          <w:p>
            <w:pPr>
              <w:jc w:val="center"/>
            </w:pPr>
            <w:r/>
            <w:r>
              <w:rPr>
                <w:rFonts w:ascii="宋体" w:hAnsi="宋体" w:eastAsia="宋体"/>
                <w:b w:val="0"/>
                <w:sz w:val="21"/>
              </w:rPr>
              <w:t>企财险</w:t>
            </w:r>
          </w:p>
        </w:tc>
        <w:tc>
          <w:tcPr>
            <w:tcW w:type="dxa" w:w="2075"/>
          </w:tcPr>
          <w:p>
            <w:pPr>
              <w:jc w:val="center"/>
            </w:pPr>
            <w:r/>
            <w:r>
              <w:rPr>
                <w:rFonts w:ascii="宋体" w:hAnsi="宋体" w:eastAsia="宋体"/>
                <w:b w:val="0"/>
                <w:sz w:val="21"/>
              </w:rPr>
              <w:t>120</w:t>
            </w:r>
          </w:p>
        </w:tc>
        <w:tc>
          <w:tcPr>
            <w:tcW w:type="dxa" w:w="2075"/>
          </w:tcPr>
          <w:p>
            <w:pPr>
              <w:jc w:val="center"/>
            </w:pPr>
            <w:r/>
            <w:r>
              <w:rPr>
                <w:rFonts w:ascii="宋体" w:hAnsi="宋体" w:eastAsia="宋体"/>
                <w:b w:val="0"/>
                <w:sz w:val="21"/>
              </w:rPr>
              <w:t>-2.3%</w:t>
            </w:r>
          </w:p>
        </w:tc>
        <w:tc>
          <w:tcPr>
            <w:tcW w:type="dxa" w:w="2075"/>
          </w:tcPr>
          <w:p>
            <w:pPr>
              <w:jc w:val="center"/>
            </w:pPr>
            <w:r/>
            <w:r>
              <w:rPr>
                <w:rFonts w:ascii="宋体" w:hAnsi="宋体" w:eastAsia="宋体"/>
                <w:b w:val="0"/>
                <w:sz w:val="21"/>
              </w:rPr>
              <w:t>35.6%</w:t>
            </w:r>
          </w:p>
        </w:tc>
      </w:tr>
      <w:tr>
        <w:tc>
          <w:tcPr>
            <w:tcW w:type="dxa" w:w="2075"/>
          </w:tcPr>
          <w:p>
            <w:pPr>
              <w:jc w:val="center"/>
            </w:pPr>
            <w:r/>
            <w:r>
              <w:rPr>
                <w:rFonts w:ascii="宋体" w:hAnsi="宋体" w:eastAsia="宋体"/>
                <w:b w:val="0"/>
                <w:sz w:val="21"/>
              </w:rPr>
              <w:t>农险</w:t>
            </w:r>
          </w:p>
        </w:tc>
        <w:tc>
          <w:tcPr>
            <w:tcW w:type="dxa" w:w="2075"/>
          </w:tcPr>
          <w:p>
            <w:pPr>
              <w:jc w:val="center"/>
            </w:pPr>
            <w:r/>
            <w:r>
              <w:rPr>
                <w:rFonts w:ascii="宋体" w:hAnsi="宋体" w:eastAsia="宋体"/>
                <w:b w:val="0"/>
                <w:sz w:val="21"/>
              </w:rPr>
              <w:t>150</w:t>
            </w:r>
          </w:p>
        </w:tc>
        <w:tc>
          <w:tcPr>
            <w:tcW w:type="dxa" w:w="2075"/>
          </w:tcPr>
          <w:p>
            <w:pPr>
              <w:jc w:val="center"/>
            </w:pPr>
            <w:r/>
            <w:r>
              <w:rPr>
                <w:rFonts w:ascii="宋体" w:hAnsi="宋体" w:eastAsia="宋体"/>
                <w:b w:val="0"/>
                <w:sz w:val="21"/>
              </w:rPr>
              <w:t>9.5%</w:t>
            </w:r>
          </w:p>
        </w:tc>
        <w:tc>
          <w:tcPr>
            <w:tcW w:type="dxa" w:w="2075"/>
          </w:tcPr>
          <w:p>
            <w:pPr>
              <w:jc w:val="center"/>
            </w:pPr>
            <w:r/>
            <w:r>
              <w:rPr>
                <w:rFonts w:ascii="宋体" w:hAnsi="宋体" w:eastAsia="宋体"/>
                <w:b w:val="0"/>
                <w:sz w:val="21"/>
              </w:rPr>
              <w:t>42.8%</w:t>
            </w:r>
          </w:p>
        </w:tc>
      </w:tr>
    </w:tbl>
    <w:p>
      <w:pPr>
        <w:spacing w:after="80"/>
      </w:pPr>
    </w:p>
    <w:p>
      <w:pPr>
        <w:spacing w:line="360" w:lineRule="auto" w:after="80"/>
        <w:ind w:firstLine="442"/>
      </w:pPr>
      <w:r>
        <w:rPr>
          <w:rFonts w:ascii="宋体" w:hAnsi="宋体" w:eastAsia="宋体"/>
          <w:b w:val="0"/>
          <w:sz w:val="22"/>
        </w:rPr>
        <w:t>健康险赔付增速显著高于其他险种，反映出健康险业务规模扩大的同时理赔压力也在增加。车险赔付率维持在61.3%的较高水平，与车险综改深化期定价系数扩大有关。</w:t>
      </w:r>
    </w:p>
    <w:p>
      <w:pPr>
        <w:pStyle w:val="Heading2"/>
      </w:pPr>
      <w:r>
        <w:rPr>
          <w:rFonts w:ascii="黑体" w:hAnsi="黑体" w:eastAsia="黑体"/>
          <w:b/>
          <w:sz w:val="30"/>
        </w:rPr>
        <w:t>3.2  分险种保费结构</w:t>
      </w:r>
    </w:p>
    <w:p>
      <w:pPr>
        <w:spacing w:line="360" w:lineRule="auto" w:after="80"/>
        <w:ind w:firstLine="442"/>
      </w:pPr>
      <w:r>
        <w:rPr>
          <w:rFonts w:ascii="宋体" w:hAnsi="宋体" w:eastAsia="宋体"/>
          <w:b w:val="0"/>
          <w:sz w:val="22"/>
        </w:rPr>
        <w:t>本季度各险种保费收入结构出现明显调整，健康险和养老险占比持续提升，传统寿险占比下降，产品结构优化趋势明显。</w:t>
      </w:r>
    </w:p>
    <w:p>
      <w:pPr>
        <w:pStyle w:val="Heading3"/>
      </w:pPr>
      <w:r>
        <w:rPr>
          <w:rFonts w:ascii="黑体" w:hAnsi="黑体" w:eastAsia="黑体"/>
          <w:b/>
          <w:sz w:val="26"/>
        </w:rPr>
        <w:t>3.2.1  财产险保费分析</w:t>
      </w:r>
    </w:p>
    <w:p>
      <w:pPr>
        <w:spacing w:line="360" w:lineRule="auto" w:after="80"/>
        <w:ind w:firstLine="442"/>
      </w:pPr>
      <w:r>
        <w:rPr>
          <w:rFonts w:ascii="宋体" w:hAnsi="宋体" w:eastAsia="宋体"/>
          <w:b w:val="0"/>
          <w:sz w:val="22"/>
        </w:rPr>
        <w:t>财产险公司二季度实现保费收入5,100亿元，同比增长5.5%。非车险业务保持较快增长，业务结构持续优化。</w:t>
      </w:r>
    </w:p>
    <w:p>
      <w:pPr>
        <w:spacing w:before="120" w:after="40" w:line="360" w:lineRule="auto"/>
      </w:pPr>
      <w:r>
        <w:rPr>
          <w:rFonts w:ascii="宋体" w:hAnsi="宋体" w:eastAsia="宋体"/>
          <w:b/>
          <w:sz w:val="22"/>
        </w:rPr>
        <w:t>主要险种表现</w:t>
      </w:r>
    </w:p>
    <w:p>
      <w:pPr>
        <w:pStyle w:val="ListBullet"/>
        <w:spacing w:line="360" w:lineRule="auto" w:after="40"/>
      </w:pPr>
      <w:r/>
      <w:r>
        <w:rPr>
          <w:rFonts w:ascii="宋体" w:hAnsi="宋体" w:eastAsia="宋体"/>
          <w:b w:val="0"/>
          <w:sz w:val="22"/>
        </w:rPr>
        <w:t>车险保费收入3,100亿元，同比增长4.2%，占比60.8%</w:t>
      </w:r>
    </w:p>
    <w:p>
      <w:pPr>
        <w:pStyle w:val="ListBullet"/>
        <w:spacing w:line="360" w:lineRule="auto" w:after="40"/>
      </w:pPr>
      <w:r/>
      <w:r>
        <w:rPr>
          <w:rFonts w:ascii="宋体" w:hAnsi="宋体" w:eastAsia="宋体"/>
          <w:b w:val="0"/>
          <w:sz w:val="22"/>
        </w:rPr>
        <w:t>非车险保费收入2,000亿元，同比增长7.6%，占比39.2%</w:t>
      </w:r>
    </w:p>
    <w:p>
      <w:pPr>
        <w:pStyle w:val="ListBullet"/>
        <w:spacing w:line="360" w:lineRule="auto" w:after="40"/>
      </w:pPr>
      <w:r/>
      <w:r>
        <w:rPr>
          <w:rFonts w:ascii="宋体" w:hAnsi="宋体" w:eastAsia="宋体"/>
          <w:b w:val="0"/>
          <w:sz w:val="22"/>
        </w:rPr>
        <w:t>责任险保费收入380亿元，同比增长12.5%，增速领跑</w:t>
      </w:r>
    </w:p>
    <w:p>
      <w:pPr>
        <w:pStyle w:val="ListBullet"/>
        <w:spacing w:line="360" w:lineRule="auto" w:after="40"/>
      </w:pPr>
      <w:r/>
      <w:r>
        <w:rPr>
          <w:rFonts w:ascii="宋体" w:hAnsi="宋体" w:eastAsia="宋体"/>
          <w:b w:val="0"/>
          <w:sz w:val="22"/>
        </w:rPr>
        <w:t>农险保费收入420亿元，同比增长8.3%</w:t>
      </w:r>
    </w:p>
    <w:p>
      <w:pPr>
        <w:spacing w:before="160" w:after="80"/>
        <w:jc w:val="center"/>
      </w:pPr>
      <w:r>
        <w:drawing>
          <wp:inline xmlns:a="http://schemas.openxmlformats.org/drawingml/2006/main" xmlns:pic="http://schemas.openxmlformats.org/drawingml/2006/picture">
            <wp:extent cx="5040000" cy="3764051"/>
            <wp:docPr id="2" name="Picture 2"/>
            <wp:cNvGraphicFramePr>
              <a:graphicFrameLocks noChangeAspect="1"/>
            </wp:cNvGraphicFramePr>
            <a:graphic>
              <a:graphicData uri="http://schemas.openxmlformats.org/drawingml/2006/picture">
                <pic:pic>
                  <pic:nvPicPr>
                    <pic:cNvPr id="0" name="fig2_财险占比.png"/>
                    <pic:cNvPicPr/>
                  </pic:nvPicPr>
                  <pic:blipFill>
                    <a:blip r:embed="rId11"/>
                    <a:stretch>
                      <a:fillRect/>
                    </a:stretch>
                  </pic:blipFill>
                  <pic:spPr>
                    <a:xfrm>
                      <a:off x="0" y="0"/>
                      <a:ext cx="5040000" cy="3764051"/>
                    </a:xfrm>
                    <a:prstGeom prst="rect"/>
                  </pic:spPr>
                </pic:pic>
              </a:graphicData>
            </a:graphic>
          </wp:inline>
        </w:drawing>
      </w:r>
    </w:p>
    <w:p>
      <w:pPr>
        <w:spacing w:after="160"/>
        <w:jc w:val="center"/>
      </w:pPr>
      <w:r>
        <w:rPr>
          <w:rFonts w:ascii="宋体" w:hAnsi="宋体" w:eastAsia="宋体"/>
          <w:b/>
          <w:color w:val="666666"/>
          <w:sz w:val="20"/>
        </w:rPr>
        <w:t>图2：2026年Q2财产险分险种保费占比</w:t>
      </w:r>
    </w:p>
    <w:p>
      <w:pPr>
        <w:spacing w:before="120" w:after="40" w:line="360" w:lineRule="auto"/>
      </w:pPr>
      <w:r>
        <w:rPr>
          <w:rFonts w:ascii="宋体" w:hAnsi="宋体" w:eastAsia="宋体"/>
          <w:b/>
          <w:sz w:val="22"/>
        </w:rPr>
        <w:t>车险市场特点</w:t>
      </w:r>
    </w:p>
    <w:p>
      <w:pPr>
        <w:pStyle w:val="ListBullet"/>
        <w:spacing w:line="360" w:lineRule="auto" w:after="40"/>
      </w:pPr>
      <w:r/>
      <w:r>
        <w:rPr>
          <w:rFonts w:ascii="宋体" w:hAnsi="宋体" w:eastAsia="宋体"/>
          <w:b w:val="0"/>
          <w:sz w:val="22"/>
        </w:rPr>
        <w:t>车均保费小幅下降至1,850元，同比下降1.5%</w:t>
      </w:r>
    </w:p>
    <w:p>
      <w:pPr>
        <w:pStyle w:val="ListBullet"/>
        <w:spacing w:line="360" w:lineRule="auto" w:after="40"/>
      </w:pPr>
      <w:r/>
      <w:r>
        <w:rPr>
          <w:rFonts w:ascii="宋体" w:hAnsi="宋体" w:eastAsia="宋体"/>
          <w:b w:val="0"/>
          <w:sz w:val="22"/>
        </w:rPr>
        <w:t>综合改革深化期，自主定价系数浮动范围扩大</w:t>
      </w:r>
    </w:p>
    <w:p>
      <w:pPr>
        <w:pStyle w:val="ListBullet"/>
        <w:spacing w:line="360" w:lineRule="auto" w:after="40"/>
      </w:pPr>
      <w:r/>
      <w:r>
        <w:rPr>
          <w:rFonts w:ascii="宋体" w:hAnsi="宋体" w:eastAsia="宋体"/>
          <w:b w:val="0"/>
          <w:sz w:val="22"/>
        </w:rPr>
        <w:t>新能源车险保费收入280亿元，同比增长45%，成为重要增长极</w:t>
      </w:r>
    </w:p>
    <w:p>
      <w:pPr>
        <w:spacing w:line="360" w:lineRule="auto" w:after="80"/>
        <w:ind w:firstLine="442"/>
      </w:pPr>
      <w:r>
        <w:rPr>
          <w:rFonts w:ascii="宋体" w:hAnsi="宋体" w:eastAsia="宋体"/>
          <w:b w:val="0"/>
          <w:sz w:val="22"/>
        </w:rPr>
        <w:t>非车险业务的快速增长有效对冲了车险增速放缓的影响，财险公司业务结构持续优化。</w:t>
      </w:r>
    </w:p>
    <w:p>
      <w:pPr>
        <w:pStyle w:val="Heading2"/>
      </w:pPr>
      <w:r>
        <w:rPr>
          <w:rFonts w:ascii="黑体" w:hAnsi="黑体" w:eastAsia="黑体"/>
          <w:b/>
          <w:sz w:val="30"/>
        </w:rPr>
        <w:t>3.3  中小险企市场份额</w:t>
      </w:r>
    </w:p>
    <w:p>
      <w:pPr>
        <w:spacing w:line="360" w:lineRule="auto" w:after="80"/>
        <w:ind w:firstLine="442"/>
      </w:pPr>
      <w:r>
        <w:rPr>
          <w:rFonts w:ascii="宋体" w:hAnsi="宋体" w:eastAsia="宋体"/>
          <w:b w:val="0"/>
          <w:sz w:val="22"/>
        </w:rPr>
        <w:t>行业集中度方面，头部险企市场份额略有下降，中小险企在细分领域找到了差异化发展路径。</w:t>
      </w:r>
    </w:p>
    <w:p>
      <w:pPr>
        <w:spacing w:before="120" w:after="40" w:line="360" w:lineRule="auto"/>
      </w:pPr>
      <w:r>
        <w:rPr>
          <w:rFonts w:ascii="宋体" w:hAnsi="宋体" w:eastAsia="宋体"/>
          <w:b/>
          <w:sz w:val="22"/>
        </w:rPr>
        <w:t>市场份额变化</w:t>
      </w:r>
    </w:p>
    <w:p>
      <w:pPr>
        <w:pStyle w:val="ListBullet"/>
        <w:spacing w:line="360" w:lineRule="auto" w:after="40"/>
      </w:pPr>
      <w:r/>
      <w:r>
        <w:rPr>
          <w:rFonts w:ascii="宋体" w:hAnsi="宋体" w:eastAsia="宋体"/>
          <w:b w:val="0"/>
          <w:sz w:val="22"/>
        </w:rPr>
        <w:t>CR5（前五大险企）市场份额为52.3%，较去年同期下降0.8个百分点</w:t>
      </w:r>
    </w:p>
    <w:p>
      <w:pPr>
        <w:pStyle w:val="ListBullet"/>
        <w:spacing w:line="360" w:lineRule="auto" w:after="40"/>
      </w:pPr>
      <w:r/>
      <w:r>
        <w:rPr>
          <w:rFonts w:ascii="宋体" w:hAnsi="宋体" w:eastAsia="宋体"/>
          <w:b w:val="0"/>
          <w:sz w:val="22"/>
        </w:rPr>
        <w:t>CR10市场份额为68.7%，与去年同期基本持平</w:t>
      </w:r>
    </w:p>
    <w:p>
      <w:pPr>
        <w:pStyle w:val="ListBullet"/>
        <w:spacing w:line="360" w:lineRule="auto" w:after="40"/>
      </w:pPr>
      <w:r/>
      <w:r>
        <w:rPr>
          <w:rFonts w:ascii="宋体" w:hAnsi="宋体" w:eastAsia="宋体"/>
          <w:b w:val="0"/>
          <w:sz w:val="22"/>
        </w:rPr>
        <w:t>中小险企在健康险、农险、责任险等细分领域的份额有所提升</w:t>
      </w:r>
    </w:p>
    <w:p>
      <w:pPr>
        <w:spacing w:before="120" w:after="40" w:line="360" w:lineRule="auto"/>
      </w:pPr>
      <w:r>
        <w:rPr>
          <w:rFonts w:ascii="宋体" w:hAnsi="宋体" w:eastAsia="宋体"/>
          <w:b/>
          <w:sz w:val="22"/>
        </w:rPr>
        <w:t>中小险企发展特点</w:t>
      </w:r>
    </w:p>
    <w:p>
      <w:pPr>
        <w:pStyle w:val="ListBullet"/>
        <w:spacing w:line="360" w:lineRule="auto" w:after="40"/>
      </w:pPr>
      <w:r/>
      <w:r>
        <w:rPr>
          <w:rFonts w:ascii="宋体" w:hAnsi="宋体" w:eastAsia="宋体"/>
          <w:b w:val="0"/>
          <w:sz w:val="22"/>
        </w:rPr>
        <w:t>聚焦区域市场，深耕特定客群</w:t>
      </w:r>
    </w:p>
    <w:p>
      <w:pPr>
        <w:pStyle w:val="ListBullet"/>
        <w:spacing w:line="360" w:lineRule="auto" w:after="40"/>
      </w:pPr>
      <w:r/>
      <w:r>
        <w:rPr>
          <w:rFonts w:ascii="宋体" w:hAnsi="宋体" w:eastAsia="宋体"/>
          <w:b w:val="0"/>
          <w:sz w:val="22"/>
        </w:rPr>
        <w:t>借助科技赋能，提升运营效率</w:t>
      </w:r>
    </w:p>
    <w:p>
      <w:pPr>
        <w:pStyle w:val="ListBullet"/>
        <w:spacing w:line="360" w:lineRule="auto" w:after="40"/>
      </w:pPr>
      <w:r/>
      <w:r>
        <w:rPr>
          <w:rFonts w:ascii="宋体" w:hAnsi="宋体" w:eastAsia="宋体"/>
          <w:b w:val="0"/>
          <w:sz w:val="22"/>
        </w:rPr>
        <w:t>加强与平台合作，拓展获客渠道</w:t>
      </w:r>
    </w:p>
    <w:p>
      <w:r>
        <w:br w:type="page"/>
      </w:r>
    </w:p>
    <w:p>
      <w:pPr>
        <w:pStyle w:val="Heading1"/>
      </w:pPr>
      <w:r>
        <w:rPr>
          <w:rFonts w:ascii="黑体" w:hAnsi="黑体" w:eastAsia="黑体"/>
          <w:b/>
          <w:sz w:val="36"/>
        </w:rPr>
        <w:t>第四章  产品创新与业务结构</w:t>
      </w:r>
    </w:p>
    <w:p>
      <w:pPr>
        <w:pStyle w:val="Heading2"/>
      </w:pPr>
      <w:r>
        <w:rPr>
          <w:rFonts w:ascii="黑体" w:hAnsi="黑体" w:eastAsia="黑体"/>
          <w:b/>
          <w:sz w:val="30"/>
        </w:rPr>
        <w:t>4.1  传统保险产品创新</w:t>
      </w:r>
    </w:p>
    <w:p>
      <w:pPr>
        <w:spacing w:line="360" w:lineRule="auto" w:after="80"/>
        <w:ind w:firstLine="442"/>
      </w:pPr>
      <w:r>
        <w:rPr>
          <w:rFonts w:ascii="宋体" w:hAnsi="宋体" w:eastAsia="宋体"/>
          <w:b w:val="0"/>
          <w:sz w:val="22"/>
        </w:rPr>
        <w:t>传统保险产品在本季度呈现出"保障+服务"融合创新的趋势，产品形态从单一的财务补偿向综合服务方案演进。</w:t>
      </w:r>
    </w:p>
    <w:p>
      <w:pPr>
        <w:spacing w:before="120" w:after="40" w:line="360" w:lineRule="auto"/>
      </w:pPr>
      <w:r>
        <w:rPr>
          <w:rFonts w:ascii="宋体" w:hAnsi="宋体" w:eastAsia="宋体"/>
          <w:b/>
          <w:sz w:val="22"/>
        </w:rPr>
        <w:t>寿险产品创新</w:t>
      </w:r>
    </w:p>
    <w:p>
      <w:pPr>
        <w:pStyle w:val="ListBullet"/>
        <w:spacing w:line="360" w:lineRule="auto" w:after="40"/>
      </w:pPr>
      <w:r/>
      <w:r>
        <w:rPr>
          <w:rFonts w:ascii="宋体" w:hAnsi="宋体" w:eastAsia="宋体"/>
          <w:b w:val="0"/>
          <w:sz w:val="22"/>
        </w:rPr>
        <w:t>重疾险产品引入"分级赔付"机制，轻症、中症、重症差异化给付</w:t>
      </w:r>
    </w:p>
    <w:p>
      <w:pPr>
        <w:pStyle w:val="ListBullet"/>
        <w:spacing w:line="360" w:lineRule="auto" w:after="40"/>
      </w:pPr>
      <w:r/>
      <w:r>
        <w:rPr>
          <w:rFonts w:ascii="宋体" w:hAnsi="宋体" w:eastAsia="宋体"/>
          <w:b w:val="0"/>
          <w:sz w:val="22"/>
        </w:rPr>
        <w:t>定期寿险产品结合健康管理服务，提供差异化费率优惠</w:t>
      </w:r>
    </w:p>
    <w:p>
      <w:pPr>
        <w:pStyle w:val="ListBullet"/>
        <w:spacing w:line="360" w:lineRule="auto" w:after="40"/>
      </w:pPr>
      <w:r/>
      <w:r>
        <w:rPr>
          <w:rFonts w:ascii="宋体" w:hAnsi="宋体" w:eastAsia="宋体"/>
          <w:b w:val="0"/>
          <w:sz w:val="22"/>
        </w:rPr>
        <w:t>年金险产品增加万能账户灵活配置功能</w:t>
      </w:r>
    </w:p>
    <w:p>
      <w:pPr>
        <w:spacing w:before="120" w:after="40" w:line="360" w:lineRule="auto"/>
      </w:pPr>
      <w:r>
        <w:rPr>
          <w:rFonts w:ascii="宋体" w:hAnsi="宋体" w:eastAsia="宋体"/>
          <w:b/>
          <w:sz w:val="22"/>
        </w:rPr>
        <w:t>健康险产品趋势</w:t>
      </w:r>
    </w:p>
    <w:p>
      <w:pPr>
        <w:pStyle w:val="ListBullet"/>
        <w:spacing w:line="360" w:lineRule="auto" w:after="40"/>
      </w:pPr>
      <w:r/>
      <w:r>
        <w:rPr>
          <w:rFonts w:ascii="宋体" w:hAnsi="宋体" w:eastAsia="宋体"/>
          <w:b w:val="0"/>
          <w:sz w:val="22"/>
        </w:rPr>
        <w:t>百万医疗险迭代升级，增加特定药品和前沿疗法保障</w:t>
      </w:r>
    </w:p>
    <w:p>
      <w:pPr>
        <w:pStyle w:val="ListBullet"/>
        <w:spacing w:line="360" w:lineRule="auto" w:after="40"/>
      </w:pPr>
      <w:r/>
      <w:r>
        <w:rPr>
          <w:rFonts w:ascii="宋体" w:hAnsi="宋体" w:eastAsia="宋体"/>
          <w:b w:val="0"/>
          <w:sz w:val="22"/>
        </w:rPr>
        <w:t>长期护理险试点扩面，产品形态从定额给付向服务给付延伸</w:t>
      </w:r>
    </w:p>
    <w:p>
      <w:pPr>
        <w:pStyle w:val="ListBullet"/>
        <w:spacing w:line="360" w:lineRule="auto" w:after="40"/>
      </w:pPr>
      <w:r/>
      <w:r>
        <w:rPr>
          <w:rFonts w:ascii="宋体" w:hAnsi="宋体" w:eastAsia="宋体"/>
          <w:b w:val="0"/>
          <w:sz w:val="22"/>
        </w:rPr>
        <w:t>城市定制惠民保产品进入精细化运营阶段</w:t>
      </w:r>
    </w:p>
    <w:p>
      <w:pPr>
        <w:spacing w:before="120" w:after="40" w:line="360" w:lineRule="auto"/>
      </w:pPr>
      <w:r>
        <w:rPr>
          <w:rFonts w:ascii="宋体" w:hAnsi="宋体" w:eastAsia="宋体"/>
          <w:b/>
          <w:sz w:val="22"/>
        </w:rPr>
        <w:t>产品创新亮点</w:t>
      </w:r>
    </w:p>
    <w:p>
      <w:pPr>
        <w:pStyle w:val="ListBullet"/>
        <w:spacing w:line="360" w:lineRule="auto" w:after="40"/>
      </w:pPr>
      <w:r/>
      <w:r>
        <w:rPr>
          <w:rFonts w:ascii="宋体" w:hAnsi="宋体" w:eastAsia="宋体"/>
          <w:b w:val="0"/>
          <w:sz w:val="22"/>
        </w:rPr>
        <w:t>"保险+健康管理"模式深化，超过60%的新单健康险附带健康管理服务</w:t>
      </w:r>
    </w:p>
    <w:p>
      <w:pPr>
        <w:pStyle w:val="ListBullet"/>
        <w:spacing w:line="360" w:lineRule="auto" w:after="40"/>
      </w:pPr>
      <w:r/>
      <w:r>
        <w:rPr>
          <w:rFonts w:ascii="宋体" w:hAnsi="宋体" w:eastAsia="宋体"/>
          <w:b w:val="0"/>
          <w:sz w:val="22"/>
        </w:rPr>
        <w:t>分红型产品吸引力提升，多家公司推出分红型增额终身寿险</w:t>
      </w:r>
    </w:p>
    <w:p>
      <w:pPr>
        <w:pStyle w:val="ListBullet"/>
        <w:spacing w:line="360" w:lineRule="auto" w:after="40"/>
      </w:pPr>
      <w:r/>
      <w:r>
        <w:rPr>
          <w:rFonts w:ascii="宋体" w:hAnsi="宋体" w:eastAsia="宋体"/>
          <w:b w:val="0"/>
          <w:sz w:val="22"/>
        </w:rPr>
        <w:t>产品定价更加精细化，基于大数据的精准定价能力成为核心竞争力</w:t>
      </w:r>
    </w:p>
    <w:p>
      <w:pPr>
        <w:pStyle w:val="Heading2"/>
      </w:pPr>
      <w:r>
        <w:rPr>
          <w:rFonts w:ascii="黑体" w:hAnsi="黑体" w:eastAsia="黑体"/>
          <w:b/>
          <w:sz w:val="30"/>
        </w:rPr>
        <w:t>4.2  新兴保险产品发展</w:t>
      </w:r>
    </w:p>
    <w:p>
      <w:pPr>
        <w:spacing w:line="360" w:lineRule="auto" w:after="80"/>
        <w:ind w:firstLine="442"/>
      </w:pPr>
      <w:r>
        <w:rPr>
          <w:rFonts w:ascii="宋体" w:hAnsi="宋体" w:eastAsia="宋体"/>
          <w:b w:val="0"/>
          <w:sz w:val="22"/>
        </w:rPr>
        <w:t>数字化转型催生了一批新兴保险产品，以场景化、碎片化、定制化为特征，成为行业增长的新动能。</w:t>
      </w:r>
    </w:p>
    <w:p>
      <w:pPr>
        <w:spacing w:before="120" w:after="40" w:line="360" w:lineRule="auto"/>
      </w:pPr>
      <w:r>
        <w:rPr>
          <w:rFonts w:ascii="宋体" w:hAnsi="宋体" w:eastAsia="宋体"/>
          <w:b/>
          <w:sz w:val="22"/>
        </w:rPr>
        <w:t>互联网保险产品</w:t>
      </w:r>
    </w:p>
    <w:p>
      <w:pPr>
        <w:pStyle w:val="ListBullet"/>
        <w:spacing w:line="360" w:lineRule="auto" w:after="40"/>
      </w:pPr>
      <w:r/>
      <w:r>
        <w:rPr>
          <w:rFonts w:ascii="宋体" w:hAnsi="宋体" w:eastAsia="宋体"/>
          <w:b w:val="0"/>
          <w:sz w:val="22"/>
        </w:rPr>
        <w:t>场景化保险产品覆盖电商、出行、社交等200余个细分场景</w:t>
      </w:r>
    </w:p>
    <w:p>
      <w:pPr>
        <w:pStyle w:val="ListBullet"/>
        <w:spacing w:line="360" w:lineRule="auto" w:after="40"/>
      </w:pPr>
      <w:r/>
      <w:r>
        <w:rPr>
          <w:rFonts w:ascii="宋体" w:hAnsi="宋体" w:eastAsia="宋体"/>
          <w:b w:val="0"/>
          <w:sz w:val="22"/>
        </w:rPr>
        <w:t>按需保险产品增长迅速，UBI车险试点城市扩大至15个</w:t>
      </w:r>
    </w:p>
    <w:p>
      <w:pPr>
        <w:pStyle w:val="ListBullet"/>
        <w:spacing w:line="360" w:lineRule="auto" w:after="40"/>
      </w:pPr>
      <w:r/>
      <w:r>
        <w:rPr>
          <w:rFonts w:ascii="宋体" w:hAnsi="宋体" w:eastAsia="宋体"/>
          <w:b w:val="0"/>
          <w:sz w:val="22"/>
        </w:rPr>
        <w:t>宠物保险、齿科保险等垂直细分产品受到年轻客群青睐</w:t>
      </w:r>
    </w:p>
    <w:p>
      <w:pPr>
        <w:spacing w:before="120" w:after="40" w:line="360" w:lineRule="auto"/>
      </w:pPr>
      <w:r>
        <w:rPr>
          <w:rFonts w:ascii="宋体" w:hAnsi="宋体" w:eastAsia="宋体"/>
          <w:b/>
          <w:sz w:val="22"/>
        </w:rPr>
        <w:t>科技保险产品</w:t>
      </w:r>
    </w:p>
    <w:p>
      <w:pPr>
        <w:pStyle w:val="ListBullet"/>
        <w:spacing w:line="360" w:lineRule="auto" w:after="40"/>
      </w:pPr>
      <w:r/>
      <w:r>
        <w:rPr>
          <w:rFonts w:ascii="宋体" w:hAnsi="宋体" w:eastAsia="宋体"/>
          <w:b w:val="0"/>
          <w:sz w:val="22"/>
        </w:rPr>
        <w:t>网络安全保险保费收入突破15亿元，同比增长85%</w:t>
      </w:r>
    </w:p>
    <w:p>
      <w:pPr>
        <w:pStyle w:val="ListBullet"/>
        <w:spacing w:line="360" w:lineRule="auto" w:after="40"/>
      </w:pPr>
      <w:r/>
      <w:r>
        <w:rPr>
          <w:rFonts w:ascii="宋体" w:hAnsi="宋体" w:eastAsia="宋体"/>
          <w:b w:val="0"/>
          <w:sz w:val="22"/>
        </w:rPr>
        <w:t>知识产权保险覆盖范围扩大至20个省级行政区</w:t>
      </w:r>
    </w:p>
    <w:p>
      <w:pPr>
        <w:pStyle w:val="ListBullet"/>
        <w:spacing w:line="360" w:lineRule="auto" w:after="40"/>
      </w:pPr>
      <w:r/>
      <w:r>
        <w:rPr>
          <w:rFonts w:ascii="宋体" w:hAnsi="宋体" w:eastAsia="宋体"/>
          <w:b w:val="0"/>
          <w:sz w:val="22"/>
        </w:rPr>
        <w:t>绿色保险产品体系初步建立，涵盖碳交易、新能源、环保等领域</w:t>
      </w:r>
    </w:p>
    <w:p>
      <w:pPr>
        <w:spacing w:before="120" w:after="40" w:line="360" w:lineRule="auto"/>
      </w:pPr>
      <w:r>
        <w:rPr>
          <w:rFonts w:ascii="宋体" w:hAnsi="宋体" w:eastAsia="宋体"/>
          <w:b/>
          <w:sz w:val="22"/>
        </w:rPr>
        <w:t>创新趋势</w:t>
      </w:r>
    </w:p>
    <w:p>
      <w:pPr>
        <w:pStyle w:val="ListBullet"/>
        <w:spacing w:line="360" w:lineRule="auto" w:after="40"/>
      </w:pPr>
      <w:r/>
      <w:r>
        <w:rPr>
          <w:rFonts w:ascii="宋体" w:hAnsi="宋体" w:eastAsia="宋体"/>
          <w:b w:val="0"/>
          <w:sz w:val="22"/>
        </w:rPr>
        <w:t>AI驱动的动态定价产品开始小范围试水</w:t>
      </w:r>
    </w:p>
    <w:p>
      <w:pPr>
        <w:pStyle w:val="ListBullet"/>
        <w:spacing w:line="360" w:lineRule="auto" w:after="40"/>
      </w:pPr>
      <w:r/>
      <w:r>
        <w:rPr>
          <w:rFonts w:ascii="宋体" w:hAnsi="宋体" w:eastAsia="宋体"/>
          <w:b w:val="0"/>
          <w:sz w:val="22"/>
        </w:rPr>
        <w:t>区块链技术在再保险和理赔场景落地应用</w:t>
      </w:r>
    </w:p>
    <w:p>
      <w:pPr>
        <w:pStyle w:val="ListBullet"/>
        <w:spacing w:line="360" w:lineRule="auto" w:after="40"/>
      </w:pPr>
      <w:r/>
      <w:r>
        <w:rPr>
          <w:rFonts w:ascii="宋体" w:hAnsi="宋体" w:eastAsia="宋体"/>
          <w:b w:val="0"/>
          <w:sz w:val="22"/>
        </w:rPr>
        <w:t>保险+科技生态合作模式成为主流路径</w:t>
      </w:r>
    </w:p>
    <w:p>
      <w:pPr>
        <w:pStyle w:val="Heading2"/>
      </w:pPr>
      <w:r>
        <w:rPr>
          <w:rFonts w:ascii="黑体" w:hAnsi="黑体" w:eastAsia="黑体"/>
          <w:b/>
          <w:sz w:val="30"/>
        </w:rPr>
        <w:t>4.3  产品定价策略变化</w:t>
      </w:r>
    </w:p>
    <w:p>
      <w:pPr>
        <w:spacing w:line="360" w:lineRule="auto" w:after="80"/>
        <w:ind w:firstLine="442"/>
      </w:pPr>
      <w:r>
        <w:rPr>
          <w:rFonts w:ascii="宋体" w:hAnsi="宋体" w:eastAsia="宋体"/>
          <w:b w:val="0"/>
          <w:sz w:val="22"/>
        </w:rPr>
        <w:t>利率下行环境下，产品定价策略经历了显著调整，从粗放式定价向精细化、动态化定价转变。</w:t>
      </w:r>
    </w:p>
    <w:p>
      <w:pPr>
        <w:spacing w:before="120" w:after="40" w:line="360" w:lineRule="auto"/>
      </w:pPr>
      <w:r>
        <w:rPr>
          <w:rFonts w:ascii="宋体" w:hAnsi="宋体" w:eastAsia="宋体"/>
          <w:b/>
          <w:sz w:val="22"/>
        </w:rPr>
        <w:t>定价利率调整</w:t>
      </w:r>
    </w:p>
    <w:p>
      <w:pPr>
        <w:pStyle w:val="ListBullet"/>
        <w:spacing w:line="360" w:lineRule="auto" w:after="40"/>
      </w:pPr>
      <w:r/>
      <w:r>
        <w:rPr>
          <w:rFonts w:ascii="宋体" w:hAnsi="宋体" w:eastAsia="宋体"/>
          <w:b w:val="0"/>
          <w:sz w:val="22"/>
        </w:rPr>
        <w:t>传统寿险定价利率上限从3.0%下调至2.5%</w:t>
      </w:r>
    </w:p>
    <w:p>
      <w:pPr>
        <w:pStyle w:val="ListBullet"/>
        <w:spacing w:line="360" w:lineRule="auto" w:after="40"/>
      </w:pPr>
      <w:r/>
      <w:r>
        <w:rPr>
          <w:rFonts w:ascii="宋体" w:hAnsi="宋体" w:eastAsia="宋体"/>
          <w:b w:val="0"/>
          <w:sz w:val="22"/>
        </w:rPr>
        <w:t>分红险演示利率上限调整为4.0%</w:t>
      </w:r>
    </w:p>
    <w:p>
      <w:pPr>
        <w:pStyle w:val="ListBullet"/>
        <w:spacing w:line="360" w:lineRule="auto" w:after="40"/>
      </w:pPr>
      <w:r/>
      <w:r>
        <w:rPr>
          <w:rFonts w:ascii="宋体" w:hAnsi="宋体" w:eastAsia="宋体"/>
          <w:b w:val="0"/>
          <w:sz w:val="22"/>
        </w:rPr>
        <w:t>万能险最低保证利率上限下调至1.75%</w:t>
      </w:r>
    </w:p>
    <w:p>
      <w:pPr>
        <w:spacing w:before="120" w:after="40" w:line="360" w:lineRule="auto"/>
      </w:pPr>
      <w:r>
        <w:rPr>
          <w:rFonts w:ascii="宋体" w:hAnsi="宋体" w:eastAsia="宋体"/>
          <w:b/>
          <w:sz w:val="22"/>
        </w:rPr>
        <w:t>定价模型演进</w:t>
      </w:r>
    </w:p>
    <w:p>
      <w:pPr>
        <w:pStyle w:val="ListBullet"/>
        <w:spacing w:line="360" w:lineRule="auto" w:after="40"/>
      </w:pPr>
      <w:r/>
      <w:r>
        <w:rPr>
          <w:rFonts w:ascii="宋体" w:hAnsi="宋体" w:eastAsia="宋体"/>
          <w:b w:val="0"/>
          <w:sz w:val="22"/>
        </w:rPr>
        <w:t>大数据精算模型应用范围扩大，定价颗粒度更加精细</w:t>
      </w:r>
    </w:p>
    <w:p>
      <w:pPr>
        <w:pStyle w:val="ListBullet"/>
        <w:spacing w:line="360" w:lineRule="auto" w:after="40"/>
      </w:pPr>
      <w:r/>
      <w:r>
        <w:rPr>
          <w:rFonts w:ascii="宋体" w:hAnsi="宋体" w:eastAsia="宋体"/>
          <w:b w:val="0"/>
          <w:sz w:val="22"/>
        </w:rPr>
        <w:t>动态定价试点从车险向健康险延伸</w:t>
      </w:r>
    </w:p>
    <w:p>
      <w:pPr>
        <w:pStyle w:val="ListBullet"/>
        <w:spacing w:line="360" w:lineRule="auto" w:after="40"/>
      </w:pPr>
      <w:r/>
      <w:r>
        <w:rPr>
          <w:rFonts w:ascii="宋体" w:hAnsi="宋体" w:eastAsia="宋体"/>
          <w:b w:val="0"/>
          <w:sz w:val="22"/>
        </w:rPr>
        <w:t>行为数据定价（BPAI）在部分产品中试运行</w:t>
      </w:r>
    </w:p>
    <w:p>
      <w:pPr>
        <w:pStyle w:val="Heading2"/>
      </w:pPr>
      <w:r>
        <w:rPr>
          <w:rFonts w:ascii="黑体" w:hAnsi="黑体" w:eastAsia="黑体"/>
          <w:b/>
          <w:sz w:val="30"/>
        </w:rPr>
        <w:t>4.4  再保险市场动态</w:t>
      </w:r>
    </w:p>
    <w:p>
      <w:pPr>
        <w:spacing w:line="360" w:lineRule="auto" w:after="80"/>
        <w:ind w:firstLine="442"/>
      </w:pPr>
      <w:r>
        <w:rPr>
          <w:rFonts w:ascii="宋体" w:hAnsi="宋体" w:eastAsia="宋体"/>
          <w:b w:val="0"/>
          <w:sz w:val="22"/>
        </w:rPr>
        <w:t>再保险市场在本季度保持平稳运行，分保需求和供给能力基本匹配，创新工具应用范围扩大。</w:t>
      </w:r>
    </w:p>
    <w:p>
      <w:pPr>
        <w:spacing w:before="120" w:after="40" w:line="360" w:lineRule="auto"/>
      </w:pPr>
      <w:r>
        <w:rPr>
          <w:rFonts w:ascii="宋体" w:hAnsi="宋体" w:eastAsia="宋体"/>
          <w:b/>
          <w:sz w:val="22"/>
        </w:rPr>
        <w:t>市场概况</w:t>
      </w:r>
    </w:p>
    <w:p>
      <w:pPr>
        <w:pStyle w:val="ListBullet"/>
        <w:spacing w:line="360" w:lineRule="auto" w:after="40"/>
      </w:pPr>
      <w:r/>
      <w:r>
        <w:rPr>
          <w:rFonts w:ascii="宋体" w:hAnsi="宋体" w:eastAsia="宋体"/>
          <w:b w:val="0"/>
          <w:sz w:val="22"/>
        </w:rPr>
        <w:t>分出保费收入约1,250亿元，同比增长4.8%</w:t>
      </w:r>
    </w:p>
    <w:p>
      <w:pPr>
        <w:pStyle w:val="ListBullet"/>
        <w:spacing w:line="360" w:lineRule="auto" w:after="40"/>
      </w:pPr>
      <w:r/>
      <w:r>
        <w:rPr>
          <w:rFonts w:ascii="宋体" w:hAnsi="宋体" w:eastAsia="宋体"/>
          <w:b w:val="0"/>
          <w:sz w:val="22"/>
        </w:rPr>
        <w:t>再保险交易对手集中度有所下降，多元化趋势显现</w:t>
      </w:r>
    </w:p>
    <w:p>
      <w:pPr>
        <w:pStyle w:val="ListBullet"/>
        <w:spacing w:line="360" w:lineRule="auto" w:after="40"/>
      </w:pPr>
      <w:r/>
      <w:r>
        <w:rPr>
          <w:rFonts w:ascii="宋体" w:hAnsi="宋体" w:eastAsia="宋体"/>
          <w:b w:val="0"/>
          <w:sz w:val="22"/>
        </w:rPr>
        <w:t>巨灾再保险安排覆盖范围扩大</w:t>
      </w:r>
    </w:p>
    <w:p>
      <w:pPr>
        <w:spacing w:before="120" w:after="40" w:line="360" w:lineRule="auto"/>
      </w:pPr>
      <w:r>
        <w:rPr>
          <w:rFonts w:ascii="宋体" w:hAnsi="宋体" w:eastAsia="宋体"/>
          <w:b/>
          <w:sz w:val="22"/>
        </w:rPr>
        <w:t>创新与挑战</w:t>
      </w:r>
    </w:p>
    <w:p>
      <w:pPr>
        <w:pStyle w:val="ListBullet"/>
        <w:spacing w:line="360" w:lineRule="auto" w:after="40"/>
      </w:pPr>
      <w:r/>
      <w:r>
        <w:rPr>
          <w:rFonts w:ascii="宋体" w:hAnsi="宋体" w:eastAsia="宋体"/>
          <w:b w:val="0"/>
          <w:sz w:val="22"/>
        </w:rPr>
        <w:t>巨灾债券发行规模同比增长30%，风险转移渠道拓宽</w:t>
      </w:r>
    </w:p>
    <w:p>
      <w:pPr>
        <w:pStyle w:val="ListBullet"/>
        <w:spacing w:line="360" w:lineRule="auto" w:after="40"/>
      </w:pPr>
      <w:r/>
      <w:r>
        <w:rPr>
          <w:rFonts w:ascii="宋体" w:hAnsi="宋体" w:eastAsia="宋体"/>
          <w:b w:val="0"/>
          <w:sz w:val="22"/>
        </w:rPr>
        <w:t>再保险数字化交易平台建设取得阶段性进展</w:t>
      </w:r>
    </w:p>
    <w:p>
      <w:pPr>
        <w:pStyle w:val="ListBullet"/>
        <w:spacing w:line="360" w:lineRule="auto" w:after="40"/>
      </w:pPr>
      <w:r/>
      <w:r>
        <w:rPr>
          <w:rFonts w:ascii="宋体" w:hAnsi="宋体" w:eastAsia="宋体"/>
          <w:b w:val="0"/>
          <w:sz w:val="22"/>
        </w:rPr>
        <w:t>极端天气事件增多对巨灾风险管理提出新挑战</w:t>
      </w:r>
    </w:p>
    <w:p>
      <w:r>
        <w:br w:type="page"/>
      </w:r>
    </w:p>
    <w:p>
      <w:pPr>
        <w:pStyle w:val="Heading1"/>
      </w:pPr>
      <w:r>
        <w:rPr>
          <w:rFonts w:ascii="黑体" w:hAnsi="黑体" w:eastAsia="黑体"/>
          <w:b/>
          <w:sz w:val="36"/>
        </w:rPr>
        <w:t>第五章  销售渠道分析</w:t>
      </w:r>
    </w:p>
    <w:p>
      <w:pPr>
        <w:pStyle w:val="Heading2"/>
      </w:pPr>
      <w:r>
        <w:rPr>
          <w:rFonts w:ascii="黑体" w:hAnsi="黑体" w:eastAsia="黑体"/>
          <w:b/>
          <w:sz w:val="30"/>
        </w:rPr>
        <w:t>5.1  线下渠道</w:t>
      </w:r>
    </w:p>
    <w:p>
      <w:pPr>
        <w:spacing w:line="360" w:lineRule="auto" w:after="80"/>
        <w:ind w:firstLine="442"/>
      </w:pPr>
      <w:r>
        <w:rPr>
          <w:rFonts w:ascii="宋体" w:hAnsi="宋体" w:eastAsia="宋体"/>
          <w:b w:val="0"/>
          <w:sz w:val="22"/>
        </w:rPr>
        <w:t>线下渠道仍然是保险销售的主力，但占比持续下降。二季度线下渠道保费收入占比为74.8%，较去年同期下降2.5个百分点。</w:t>
      </w:r>
    </w:p>
    <w:p>
      <w:pPr>
        <w:pStyle w:val="Heading3"/>
      </w:pPr>
      <w:r>
        <w:rPr>
          <w:rFonts w:ascii="黑体" w:hAnsi="黑体" w:eastAsia="黑体"/>
          <w:b/>
          <w:sz w:val="26"/>
        </w:rPr>
        <w:t>5.1.1  个险渠道分析</w:t>
      </w:r>
    </w:p>
    <w:p>
      <w:pPr>
        <w:spacing w:line="360" w:lineRule="auto" w:after="80"/>
        <w:ind w:firstLine="442"/>
      </w:pPr>
      <w:r>
        <w:rPr>
          <w:rFonts w:ascii="宋体" w:hAnsi="宋体" w:eastAsia="宋体"/>
          <w:b w:val="0"/>
          <w:sz w:val="22"/>
        </w:rPr>
        <w:t>个险渠道本季度实现保费收入8,200亿元，同比增长3.5%，增速持续放缓。代理人队伍规模收缩但产能提升。</w:t>
      </w:r>
    </w:p>
    <w:p>
      <w:pPr>
        <w:spacing w:before="160" w:after="80"/>
        <w:jc w:val="center"/>
      </w:pPr>
      <w:r>
        <w:rPr>
          <w:rFonts w:ascii="宋体" w:hAnsi="宋体" w:eastAsia="宋体"/>
          <w:b/>
          <w:color w:val="666666"/>
          <w:sz w:val="20"/>
        </w:rPr>
        <w:t>表2：2026年Q2各销售渠道保费占比</w:t>
      </w:r>
    </w:p>
    <w:tbl>
      <w:tblPr>
        <w:tblStyle w:val="TableGrid"/>
        <w:tblW w:type="auto" w:w="0"/>
        <w:jc w:val="center"/>
        <w:tblLook w:firstColumn="1" w:firstRow="1" w:lastColumn="0" w:lastRow="0" w:noHBand="0" w:noVBand="1" w:val="04A0"/>
      </w:tblPr>
      <w:tblGrid>
        <w:gridCol w:w="2075"/>
        <w:gridCol w:w="2075"/>
        <w:gridCol w:w="2075"/>
        <w:gridCol w:w="2075"/>
      </w:tblGrid>
      <w:tr>
        <w:tc>
          <w:tcPr>
            <w:tcW w:type="dxa" w:w="2075"/>
            <w:shd w:fill="D9E2F3"/>
          </w:tcPr>
          <w:p>
            <w:pPr>
              <w:jc w:val="center"/>
            </w:pPr>
            <w:r/>
            <w:r>
              <w:rPr>
                <w:rFonts w:ascii="宋体" w:hAnsi="宋体" w:eastAsia="宋体"/>
                <w:b/>
                <w:sz w:val="21"/>
              </w:rPr>
              <w:t>渠道类型</w:t>
            </w:r>
          </w:p>
        </w:tc>
        <w:tc>
          <w:tcPr>
            <w:tcW w:type="dxa" w:w="2075"/>
            <w:shd w:fill="D9E2F3"/>
          </w:tcPr>
          <w:p>
            <w:pPr>
              <w:jc w:val="center"/>
            </w:pPr>
            <w:r/>
            <w:r>
              <w:rPr>
                <w:rFonts w:ascii="宋体" w:hAnsi="宋体" w:eastAsia="宋体"/>
                <w:b/>
                <w:sz w:val="21"/>
              </w:rPr>
              <w:t>保费收入(亿元)</w:t>
            </w:r>
          </w:p>
        </w:tc>
        <w:tc>
          <w:tcPr>
            <w:tcW w:type="dxa" w:w="2075"/>
            <w:shd w:fill="D9E2F3"/>
          </w:tcPr>
          <w:p>
            <w:pPr>
              <w:jc w:val="center"/>
            </w:pPr>
            <w:r/>
            <w:r>
              <w:rPr>
                <w:rFonts w:ascii="宋体" w:hAnsi="宋体" w:eastAsia="宋体"/>
                <w:b/>
                <w:sz w:val="21"/>
              </w:rPr>
              <w:t>占比</w:t>
            </w:r>
          </w:p>
        </w:tc>
        <w:tc>
          <w:tcPr>
            <w:tcW w:type="dxa" w:w="2075"/>
            <w:shd w:fill="D9E2F3"/>
          </w:tcPr>
          <w:p>
            <w:pPr>
              <w:jc w:val="center"/>
            </w:pPr>
            <w:r/>
            <w:r>
              <w:rPr>
                <w:rFonts w:ascii="宋体" w:hAnsi="宋体" w:eastAsia="宋体"/>
                <w:b/>
                <w:sz w:val="21"/>
              </w:rPr>
              <w:t>同比变化</w:t>
            </w:r>
          </w:p>
        </w:tc>
      </w:tr>
      <w:tr>
        <w:tc>
          <w:tcPr>
            <w:tcW w:type="dxa" w:w="2075"/>
          </w:tcPr>
          <w:p>
            <w:pPr>
              <w:jc w:val="center"/>
            </w:pPr>
            <w:r/>
            <w:r>
              <w:rPr>
                <w:rFonts w:ascii="宋体" w:hAnsi="宋体" w:eastAsia="宋体"/>
                <w:b w:val="0"/>
                <w:sz w:val="21"/>
              </w:rPr>
              <w:t>个险渠道</w:t>
            </w:r>
          </w:p>
        </w:tc>
        <w:tc>
          <w:tcPr>
            <w:tcW w:type="dxa" w:w="2075"/>
          </w:tcPr>
          <w:p>
            <w:pPr>
              <w:jc w:val="center"/>
            </w:pPr>
            <w:r/>
            <w:r>
              <w:rPr>
                <w:rFonts w:ascii="宋体" w:hAnsi="宋体" w:eastAsia="宋体"/>
                <w:b w:val="0"/>
                <w:sz w:val="21"/>
              </w:rPr>
              <w:t>8,200</w:t>
            </w:r>
          </w:p>
        </w:tc>
        <w:tc>
          <w:tcPr>
            <w:tcW w:type="dxa" w:w="2075"/>
          </w:tcPr>
          <w:p>
            <w:pPr>
              <w:jc w:val="center"/>
            </w:pPr>
            <w:r/>
            <w:r>
              <w:rPr>
                <w:rFonts w:ascii="宋体" w:hAnsi="宋体" w:eastAsia="宋体"/>
                <w:b w:val="0"/>
                <w:sz w:val="21"/>
              </w:rPr>
              <w:t>37.6%</w:t>
            </w:r>
          </w:p>
        </w:tc>
        <w:tc>
          <w:tcPr>
            <w:tcW w:type="dxa" w:w="2075"/>
          </w:tcPr>
          <w:p>
            <w:pPr>
              <w:jc w:val="center"/>
            </w:pPr>
            <w:r/>
            <w:r>
              <w:rPr>
                <w:rFonts w:ascii="宋体" w:hAnsi="宋体" w:eastAsia="宋体"/>
                <w:b w:val="0"/>
                <w:sz w:val="21"/>
              </w:rPr>
              <w:t>-1.2pp</w:t>
            </w:r>
          </w:p>
        </w:tc>
      </w:tr>
      <w:tr>
        <w:tc>
          <w:tcPr>
            <w:tcW w:type="dxa" w:w="2075"/>
          </w:tcPr>
          <w:p>
            <w:pPr>
              <w:jc w:val="center"/>
            </w:pPr>
            <w:r/>
            <w:r>
              <w:rPr>
                <w:rFonts w:ascii="宋体" w:hAnsi="宋体" w:eastAsia="宋体"/>
                <w:b w:val="0"/>
                <w:sz w:val="21"/>
              </w:rPr>
              <w:t>银保渠道</w:t>
            </w:r>
          </w:p>
        </w:tc>
        <w:tc>
          <w:tcPr>
            <w:tcW w:type="dxa" w:w="2075"/>
          </w:tcPr>
          <w:p>
            <w:pPr>
              <w:jc w:val="center"/>
            </w:pPr>
            <w:r/>
            <w:r>
              <w:rPr>
                <w:rFonts w:ascii="宋体" w:hAnsi="宋体" w:eastAsia="宋体"/>
                <w:b w:val="0"/>
                <w:sz w:val="21"/>
              </w:rPr>
              <w:t>6,500</w:t>
            </w:r>
          </w:p>
        </w:tc>
        <w:tc>
          <w:tcPr>
            <w:tcW w:type="dxa" w:w="2075"/>
          </w:tcPr>
          <w:p>
            <w:pPr>
              <w:jc w:val="center"/>
            </w:pPr>
            <w:r/>
            <w:r>
              <w:rPr>
                <w:rFonts w:ascii="宋体" w:hAnsi="宋体" w:eastAsia="宋体"/>
                <w:b w:val="0"/>
                <w:sz w:val="21"/>
              </w:rPr>
              <w:t>29.8%</w:t>
            </w:r>
          </w:p>
        </w:tc>
        <w:tc>
          <w:tcPr>
            <w:tcW w:type="dxa" w:w="2075"/>
          </w:tcPr>
          <w:p>
            <w:pPr>
              <w:jc w:val="center"/>
            </w:pPr>
            <w:r/>
            <w:r>
              <w:rPr>
                <w:rFonts w:ascii="宋体" w:hAnsi="宋体" w:eastAsia="宋体"/>
                <w:b w:val="0"/>
                <w:sz w:val="21"/>
              </w:rPr>
              <w:t>+0.8pp</w:t>
            </w:r>
          </w:p>
        </w:tc>
      </w:tr>
      <w:tr>
        <w:tc>
          <w:tcPr>
            <w:tcW w:type="dxa" w:w="2075"/>
          </w:tcPr>
          <w:p>
            <w:pPr>
              <w:jc w:val="center"/>
            </w:pPr>
            <w:r/>
            <w:r>
              <w:rPr>
                <w:rFonts w:ascii="宋体" w:hAnsi="宋体" w:eastAsia="宋体"/>
                <w:b w:val="0"/>
                <w:sz w:val="21"/>
              </w:rPr>
              <w:t>互联网渠道</w:t>
            </w:r>
          </w:p>
        </w:tc>
        <w:tc>
          <w:tcPr>
            <w:tcW w:type="dxa" w:w="2075"/>
          </w:tcPr>
          <w:p>
            <w:pPr>
              <w:jc w:val="center"/>
            </w:pPr>
            <w:r/>
            <w:r>
              <w:rPr>
                <w:rFonts w:ascii="宋体" w:hAnsi="宋体" w:eastAsia="宋体"/>
                <w:b w:val="0"/>
                <w:sz w:val="21"/>
              </w:rPr>
              <w:t>4,360</w:t>
            </w:r>
          </w:p>
        </w:tc>
        <w:tc>
          <w:tcPr>
            <w:tcW w:type="dxa" w:w="2075"/>
          </w:tcPr>
          <w:p>
            <w:pPr>
              <w:jc w:val="center"/>
            </w:pPr>
            <w:r/>
            <w:r>
              <w:rPr>
                <w:rFonts w:ascii="宋体" w:hAnsi="宋体" w:eastAsia="宋体"/>
                <w:b w:val="0"/>
                <w:sz w:val="21"/>
              </w:rPr>
              <w:t>20.0%</w:t>
            </w:r>
          </w:p>
        </w:tc>
        <w:tc>
          <w:tcPr>
            <w:tcW w:type="dxa" w:w="2075"/>
          </w:tcPr>
          <w:p>
            <w:pPr>
              <w:jc w:val="center"/>
            </w:pPr>
            <w:r/>
            <w:r>
              <w:rPr>
                <w:rFonts w:ascii="宋体" w:hAnsi="宋体" w:eastAsia="宋体"/>
                <w:b w:val="0"/>
                <w:sz w:val="21"/>
              </w:rPr>
              <w:t>+2.5pp</w:t>
            </w:r>
          </w:p>
        </w:tc>
      </w:tr>
      <w:tr>
        <w:tc>
          <w:tcPr>
            <w:tcW w:type="dxa" w:w="2075"/>
          </w:tcPr>
          <w:p>
            <w:pPr>
              <w:jc w:val="center"/>
            </w:pPr>
            <w:r/>
            <w:r>
              <w:rPr>
                <w:rFonts w:ascii="宋体" w:hAnsi="宋体" w:eastAsia="宋体"/>
                <w:b w:val="0"/>
                <w:sz w:val="21"/>
              </w:rPr>
              <w:t>专业代理</w:t>
            </w:r>
          </w:p>
        </w:tc>
        <w:tc>
          <w:tcPr>
            <w:tcW w:type="dxa" w:w="2075"/>
          </w:tcPr>
          <w:p>
            <w:pPr>
              <w:jc w:val="center"/>
            </w:pPr>
            <w:r/>
            <w:r>
              <w:rPr>
                <w:rFonts w:ascii="宋体" w:hAnsi="宋体" w:eastAsia="宋体"/>
                <w:b w:val="0"/>
                <w:sz w:val="21"/>
              </w:rPr>
              <w:t>1,740</w:t>
            </w:r>
          </w:p>
        </w:tc>
        <w:tc>
          <w:tcPr>
            <w:tcW w:type="dxa" w:w="2075"/>
          </w:tcPr>
          <w:p>
            <w:pPr>
              <w:jc w:val="center"/>
            </w:pPr>
            <w:r/>
            <w:r>
              <w:rPr>
                <w:rFonts w:ascii="宋体" w:hAnsi="宋体" w:eastAsia="宋体"/>
                <w:b w:val="0"/>
                <w:sz w:val="21"/>
              </w:rPr>
              <w:t>8.0%</w:t>
            </w:r>
          </w:p>
        </w:tc>
        <w:tc>
          <w:tcPr>
            <w:tcW w:type="dxa" w:w="2075"/>
          </w:tcPr>
          <w:p>
            <w:pPr>
              <w:jc w:val="center"/>
            </w:pPr>
            <w:r/>
            <w:r>
              <w:rPr>
                <w:rFonts w:ascii="宋体" w:hAnsi="宋体" w:eastAsia="宋体"/>
                <w:b w:val="0"/>
                <w:sz w:val="21"/>
              </w:rPr>
              <w:t>-0.3pp</w:t>
            </w:r>
          </w:p>
        </w:tc>
      </w:tr>
      <w:tr>
        <w:tc>
          <w:tcPr>
            <w:tcW w:type="dxa" w:w="2075"/>
          </w:tcPr>
          <w:p>
            <w:pPr>
              <w:jc w:val="center"/>
            </w:pPr>
            <w:r/>
            <w:r>
              <w:rPr>
                <w:rFonts w:ascii="宋体" w:hAnsi="宋体" w:eastAsia="宋体"/>
                <w:b w:val="0"/>
                <w:sz w:val="21"/>
              </w:rPr>
              <w:t>经纪渠道</w:t>
            </w:r>
          </w:p>
        </w:tc>
        <w:tc>
          <w:tcPr>
            <w:tcW w:type="dxa" w:w="2075"/>
          </w:tcPr>
          <w:p>
            <w:pPr>
              <w:jc w:val="center"/>
            </w:pPr>
            <w:r/>
            <w:r>
              <w:rPr>
                <w:rFonts w:ascii="宋体" w:hAnsi="宋体" w:eastAsia="宋体"/>
                <w:b w:val="0"/>
                <w:sz w:val="21"/>
              </w:rPr>
              <w:t>1,000</w:t>
            </w:r>
          </w:p>
        </w:tc>
        <w:tc>
          <w:tcPr>
            <w:tcW w:type="dxa" w:w="2075"/>
          </w:tcPr>
          <w:p>
            <w:pPr>
              <w:jc w:val="center"/>
            </w:pPr>
            <w:r/>
            <w:r>
              <w:rPr>
                <w:rFonts w:ascii="宋体" w:hAnsi="宋体" w:eastAsia="宋体"/>
                <w:b w:val="0"/>
                <w:sz w:val="21"/>
              </w:rPr>
              <w:t>4.6%</w:t>
            </w:r>
          </w:p>
        </w:tc>
        <w:tc>
          <w:tcPr>
            <w:tcW w:type="dxa" w:w="2075"/>
          </w:tcPr>
          <w:p>
            <w:pPr>
              <w:jc w:val="center"/>
            </w:pPr>
            <w:r/>
            <w:r>
              <w:rPr>
                <w:rFonts w:ascii="宋体" w:hAnsi="宋体" w:eastAsia="宋体"/>
                <w:b w:val="0"/>
                <w:sz w:val="21"/>
              </w:rPr>
              <w:t>+0.2pp</w:t>
            </w:r>
          </w:p>
        </w:tc>
      </w:tr>
    </w:tbl>
    <w:p>
      <w:pPr>
        <w:spacing w:after="80"/>
      </w:pPr>
    </w:p>
    <w:p>
      <w:pPr>
        <w:spacing w:before="120" w:after="40" w:line="360" w:lineRule="auto"/>
      </w:pPr>
      <w:r>
        <w:rPr>
          <w:rFonts w:ascii="宋体" w:hAnsi="宋体" w:eastAsia="宋体"/>
          <w:b/>
          <w:sz w:val="22"/>
        </w:rPr>
        <w:t>代理人队伍变化</w:t>
      </w:r>
    </w:p>
    <w:p>
      <w:pPr>
        <w:pStyle w:val="ListBullet"/>
        <w:spacing w:line="360" w:lineRule="auto" w:after="40"/>
      </w:pPr>
      <w:r/>
      <w:r>
        <w:rPr>
          <w:rFonts w:ascii="宋体" w:hAnsi="宋体" w:eastAsia="宋体"/>
          <w:b w:val="0"/>
          <w:sz w:val="22"/>
        </w:rPr>
        <w:t>全行业个险代理人规模降至285万人，较年初减少12万人</w:t>
      </w:r>
    </w:p>
    <w:p>
      <w:pPr>
        <w:pStyle w:val="ListBullet"/>
        <w:spacing w:line="360" w:lineRule="auto" w:after="40"/>
      </w:pPr>
      <w:r/>
      <w:r>
        <w:rPr>
          <w:rFonts w:ascii="宋体" w:hAnsi="宋体" w:eastAsia="宋体"/>
          <w:b w:val="0"/>
          <w:sz w:val="22"/>
        </w:rPr>
        <w:t>代理人月均产能提升至8,500元，同比提升15%</w:t>
      </w:r>
    </w:p>
    <w:p>
      <w:pPr>
        <w:pStyle w:val="ListBullet"/>
        <w:spacing w:line="360" w:lineRule="auto" w:after="40"/>
      </w:pPr>
      <w:r/>
      <w:r>
        <w:rPr>
          <w:rFonts w:ascii="宋体" w:hAnsi="宋体" w:eastAsia="宋体"/>
          <w:b w:val="0"/>
          <w:sz w:val="22"/>
        </w:rPr>
        <w:t>活跃代理人占比提升至62%，队伍质态改善</w:t>
      </w:r>
    </w:p>
    <w:p>
      <w:pPr>
        <w:spacing w:before="120" w:after="40" w:line="360" w:lineRule="auto"/>
      </w:pPr>
      <w:r>
        <w:rPr>
          <w:rFonts w:ascii="宋体" w:hAnsi="宋体" w:eastAsia="宋体"/>
          <w:b/>
          <w:sz w:val="22"/>
        </w:rPr>
        <w:t>渠道转型方向</w:t>
      </w:r>
    </w:p>
    <w:p>
      <w:pPr>
        <w:pStyle w:val="ListBullet"/>
        <w:spacing w:line="360" w:lineRule="auto" w:after="40"/>
      </w:pPr>
      <w:r/>
      <w:r>
        <w:rPr>
          <w:rFonts w:ascii="宋体" w:hAnsi="宋体" w:eastAsia="宋体"/>
          <w:b w:val="0"/>
          <w:sz w:val="22"/>
        </w:rPr>
        <w:t>优增优育策略持续推进，高产能代理人占比提升</w:t>
      </w:r>
    </w:p>
    <w:p>
      <w:pPr>
        <w:pStyle w:val="ListBullet"/>
        <w:spacing w:line="360" w:lineRule="auto" w:after="40"/>
      </w:pPr>
      <w:r/>
      <w:r>
        <w:rPr>
          <w:rFonts w:ascii="宋体" w:hAnsi="宋体" w:eastAsia="宋体"/>
          <w:b w:val="0"/>
          <w:sz w:val="22"/>
        </w:rPr>
        <w:t>独立代理人模式试点扩大至10个城市</w:t>
      </w:r>
    </w:p>
    <w:p>
      <w:pPr>
        <w:pStyle w:val="ListBullet"/>
        <w:spacing w:line="360" w:lineRule="auto" w:after="40"/>
      </w:pPr>
      <w:r/>
      <w:r>
        <w:rPr>
          <w:rFonts w:ascii="宋体" w:hAnsi="宋体" w:eastAsia="宋体"/>
          <w:b w:val="0"/>
          <w:sz w:val="22"/>
        </w:rPr>
        <w:t>代理人赋能系统建设加速，数字化工具覆盖率超过80%</w:t>
      </w:r>
    </w:p>
    <w:p>
      <w:pPr>
        <w:pStyle w:val="Heading3"/>
      </w:pPr>
      <w:r>
        <w:rPr>
          <w:rFonts w:ascii="黑体" w:hAnsi="黑体" w:eastAsia="黑体"/>
          <w:b/>
          <w:sz w:val="26"/>
        </w:rPr>
        <w:t>5.1.2  银保渠道分析</w:t>
      </w:r>
    </w:p>
    <w:p>
      <w:pPr>
        <w:spacing w:line="360" w:lineRule="auto" w:after="80"/>
        <w:ind w:firstLine="442"/>
      </w:pPr>
      <w:r>
        <w:rPr>
          <w:rFonts w:ascii="宋体" w:hAnsi="宋体" w:eastAsia="宋体"/>
          <w:b w:val="0"/>
          <w:sz w:val="22"/>
        </w:rPr>
        <w:t>银保渠道本季度表现亮眼，实现保费收入6,500亿元，同比增长9.2%，增速领跑各渠道。</w:t>
      </w:r>
    </w:p>
    <w:p>
      <w:pPr>
        <w:spacing w:before="120" w:after="40" w:line="360" w:lineRule="auto"/>
      </w:pPr>
      <w:r>
        <w:rPr>
          <w:rFonts w:ascii="宋体" w:hAnsi="宋体" w:eastAsia="宋体"/>
          <w:b/>
          <w:sz w:val="22"/>
        </w:rPr>
        <w:t>渠道发展特点</w:t>
      </w:r>
    </w:p>
    <w:p>
      <w:pPr>
        <w:pStyle w:val="ListBullet"/>
        <w:spacing w:line="360" w:lineRule="auto" w:after="40"/>
      </w:pPr>
      <w:r/>
      <w:r>
        <w:rPr>
          <w:rFonts w:ascii="宋体" w:hAnsi="宋体" w:eastAsia="宋体"/>
          <w:b w:val="0"/>
          <w:sz w:val="22"/>
        </w:rPr>
        <w:t>长期期交产品占比提升至45%，业务质量持续改善</w:t>
      </w:r>
    </w:p>
    <w:p>
      <w:pPr>
        <w:pStyle w:val="ListBullet"/>
        <w:spacing w:line="360" w:lineRule="auto" w:after="40"/>
      </w:pPr>
      <w:r/>
      <w:r>
        <w:rPr>
          <w:rFonts w:ascii="宋体" w:hAnsi="宋体" w:eastAsia="宋体"/>
          <w:b w:val="0"/>
          <w:sz w:val="22"/>
        </w:rPr>
        <w:t>存量客户经营深化，老客户加保率提升至28%</w:t>
      </w:r>
    </w:p>
    <w:p>
      <w:pPr>
        <w:pStyle w:val="ListBullet"/>
        <w:spacing w:line="360" w:lineRule="auto" w:after="40"/>
      </w:pPr>
      <w:r/>
      <w:r>
        <w:rPr>
          <w:rFonts w:ascii="宋体" w:hAnsi="宋体" w:eastAsia="宋体"/>
          <w:b w:val="0"/>
          <w:sz w:val="22"/>
        </w:rPr>
        <w:t>银行网点保险销售专业化程度提高</w:t>
      </w:r>
    </w:p>
    <w:p>
      <w:pPr>
        <w:spacing w:before="120" w:after="40" w:line="360" w:lineRule="auto"/>
      </w:pPr>
      <w:r>
        <w:rPr>
          <w:rFonts w:ascii="宋体" w:hAnsi="宋体" w:eastAsia="宋体"/>
          <w:b/>
          <w:sz w:val="22"/>
        </w:rPr>
        <w:t>合作模式创新</w:t>
      </w:r>
    </w:p>
    <w:p>
      <w:pPr>
        <w:pStyle w:val="ListBullet"/>
        <w:spacing w:line="360" w:lineRule="auto" w:after="40"/>
      </w:pPr>
      <w:r/>
      <w:r>
        <w:rPr>
          <w:rFonts w:ascii="宋体" w:hAnsi="宋体" w:eastAsia="宋体"/>
          <w:b w:val="0"/>
          <w:sz w:val="22"/>
        </w:rPr>
        <w:t>"网点+APP"双线融合模式推广</w:t>
      </w:r>
    </w:p>
    <w:p>
      <w:pPr>
        <w:pStyle w:val="ListBullet"/>
        <w:spacing w:line="360" w:lineRule="auto" w:after="40"/>
      </w:pPr>
      <w:r/>
      <w:r>
        <w:rPr>
          <w:rFonts w:ascii="宋体" w:hAnsi="宋体" w:eastAsia="宋体"/>
          <w:b w:val="0"/>
          <w:sz w:val="22"/>
        </w:rPr>
        <w:t>银行系险企协同效应显现，保费增速高于行业平均</w:t>
      </w:r>
    </w:p>
    <w:p>
      <w:pPr>
        <w:pStyle w:val="ListBullet"/>
        <w:spacing w:line="360" w:lineRule="auto" w:after="40"/>
      </w:pPr>
      <w:r/>
      <w:r>
        <w:rPr>
          <w:rFonts w:ascii="宋体" w:hAnsi="宋体" w:eastAsia="宋体"/>
          <w:b w:val="0"/>
          <w:sz w:val="22"/>
        </w:rPr>
        <w:t>财富管理与保险保障融合，高端客户专属产品线丰富</w:t>
      </w:r>
    </w:p>
    <w:p>
      <w:pPr>
        <w:pStyle w:val="Heading2"/>
      </w:pPr>
      <w:r>
        <w:rPr>
          <w:rFonts w:ascii="黑体" w:hAnsi="黑体" w:eastAsia="黑体"/>
          <w:b/>
          <w:sz w:val="30"/>
        </w:rPr>
        <w:t>5.2  线上渠道</w:t>
      </w:r>
    </w:p>
    <w:p>
      <w:pPr>
        <w:spacing w:line="360" w:lineRule="auto" w:after="80"/>
        <w:ind w:firstLine="442"/>
      </w:pPr>
      <w:r>
        <w:rPr>
          <w:rFonts w:ascii="宋体" w:hAnsi="宋体" w:eastAsia="宋体"/>
          <w:b w:val="0"/>
          <w:sz w:val="22"/>
        </w:rPr>
        <w:t>线上渠道保持高速增长，数字化转型进入深水区。二季度线上渠道保费占比首次突破20%，成为行业增长的重要引擎。</w:t>
      </w:r>
    </w:p>
    <w:p>
      <w:pPr>
        <w:pStyle w:val="Heading3"/>
      </w:pPr>
      <w:r>
        <w:rPr>
          <w:rFonts w:ascii="黑体" w:hAnsi="黑体" w:eastAsia="黑体"/>
          <w:b/>
          <w:sz w:val="26"/>
        </w:rPr>
        <w:t>5.2.1  互联网保险平台</w:t>
      </w:r>
    </w:p>
    <w:p>
      <w:pPr>
        <w:spacing w:line="360" w:lineRule="auto" w:after="80"/>
        <w:ind w:firstLine="442"/>
      </w:pPr>
      <w:r>
        <w:rPr>
          <w:rFonts w:ascii="宋体" w:hAnsi="宋体" w:eastAsia="宋体"/>
          <w:b w:val="0"/>
          <w:sz w:val="22"/>
        </w:rPr>
        <w:t>互联网保险本季度实现保费收入4,360亿元，同比增长18.5%，增速远超行业平均。</w:t>
      </w:r>
    </w:p>
    <w:p>
      <w:pPr>
        <w:spacing w:before="160" w:after="80"/>
        <w:jc w:val="center"/>
      </w:pPr>
      <w:r>
        <w:drawing>
          <wp:inline xmlns:a="http://schemas.openxmlformats.org/drawingml/2006/main" xmlns:pic="http://schemas.openxmlformats.org/drawingml/2006/picture">
            <wp:extent cx="5040000" cy="3123879"/>
            <wp:docPr id="3" name="Picture 3"/>
            <wp:cNvGraphicFramePr>
              <a:graphicFrameLocks noChangeAspect="1"/>
            </wp:cNvGraphicFramePr>
            <a:graphic>
              <a:graphicData uri="http://schemas.openxmlformats.org/drawingml/2006/picture">
                <pic:pic>
                  <pic:nvPicPr>
                    <pic:cNvPr id="0" name="fig3_渠道变化.png"/>
                    <pic:cNvPicPr/>
                  </pic:nvPicPr>
                  <pic:blipFill>
                    <a:blip r:embed="rId12"/>
                    <a:stretch>
                      <a:fillRect/>
                    </a:stretch>
                  </pic:blipFill>
                  <pic:spPr>
                    <a:xfrm>
                      <a:off x="0" y="0"/>
                      <a:ext cx="5040000" cy="3123879"/>
                    </a:xfrm>
                    <a:prstGeom prst="rect"/>
                  </pic:spPr>
                </pic:pic>
              </a:graphicData>
            </a:graphic>
          </wp:inline>
        </w:drawing>
      </w:r>
    </w:p>
    <w:p>
      <w:pPr>
        <w:spacing w:after="160"/>
        <w:jc w:val="center"/>
      </w:pPr>
      <w:r>
        <w:rPr>
          <w:rFonts w:ascii="宋体" w:hAnsi="宋体" w:eastAsia="宋体"/>
          <w:b/>
          <w:color w:val="666666"/>
          <w:sz w:val="20"/>
        </w:rPr>
        <w:t>图3：2024-2026年各销售渠道保费占比变化</w:t>
      </w:r>
    </w:p>
    <w:p>
      <w:pPr>
        <w:spacing w:before="120" w:after="40" w:line="360" w:lineRule="auto"/>
      </w:pPr>
      <w:r>
        <w:rPr>
          <w:rFonts w:ascii="宋体" w:hAnsi="宋体" w:eastAsia="宋体"/>
          <w:b/>
          <w:sz w:val="22"/>
        </w:rPr>
        <w:t>平台格局</w:t>
      </w:r>
    </w:p>
    <w:p>
      <w:pPr>
        <w:pStyle w:val="ListBullet"/>
        <w:spacing w:line="360" w:lineRule="auto" w:after="40"/>
      </w:pPr>
      <w:r/>
      <w:r>
        <w:rPr>
          <w:rFonts w:ascii="宋体" w:hAnsi="宋体" w:eastAsia="宋体"/>
          <w:b w:val="0"/>
          <w:sz w:val="22"/>
        </w:rPr>
        <w:t>头部互联网保险平台集中度提升，CR3占比达55%</w:t>
      </w:r>
    </w:p>
    <w:p>
      <w:pPr>
        <w:pStyle w:val="ListBullet"/>
        <w:spacing w:line="360" w:lineRule="auto" w:after="40"/>
      </w:pPr>
      <w:r/>
      <w:r>
        <w:rPr>
          <w:rFonts w:ascii="宋体" w:hAnsi="宋体" w:eastAsia="宋体"/>
          <w:b w:val="0"/>
          <w:sz w:val="22"/>
        </w:rPr>
        <w:t>保险公司自营平台投入加大，直销能力增强</w:t>
      </w:r>
    </w:p>
    <w:p>
      <w:pPr>
        <w:pStyle w:val="ListBullet"/>
        <w:spacing w:line="360" w:lineRule="auto" w:after="40"/>
      </w:pPr>
      <w:r/>
      <w:r>
        <w:rPr>
          <w:rFonts w:ascii="宋体" w:hAnsi="宋体" w:eastAsia="宋体"/>
          <w:b w:val="0"/>
          <w:sz w:val="22"/>
        </w:rPr>
        <w:t>短视频和直播渠道成为新的获客入口</w:t>
      </w:r>
    </w:p>
    <w:p>
      <w:pPr>
        <w:spacing w:before="120" w:after="40" w:line="360" w:lineRule="auto"/>
      </w:pPr>
      <w:r>
        <w:rPr>
          <w:rFonts w:ascii="宋体" w:hAnsi="宋体" w:eastAsia="宋体"/>
          <w:b/>
          <w:sz w:val="22"/>
        </w:rPr>
        <w:t>产品特征</w:t>
      </w:r>
    </w:p>
    <w:p>
      <w:pPr>
        <w:pStyle w:val="ListBullet"/>
        <w:spacing w:line="360" w:lineRule="auto" w:after="40"/>
      </w:pPr>
      <w:r/>
      <w:r>
        <w:rPr>
          <w:rFonts w:ascii="宋体" w:hAnsi="宋体" w:eastAsia="宋体"/>
          <w:b w:val="0"/>
          <w:sz w:val="22"/>
        </w:rPr>
        <w:t>短险产品为主，件均保费约350元</w:t>
      </w:r>
    </w:p>
    <w:p>
      <w:pPr>
        <w:pStyle w:val="ListBullet"/>
        <w:spacing w:line="360" w:lineRule="auto" w:after="40"/>
      </w:pPr>
      <w:r/>
      <w:r>
        <w:rPr>
          <w:rFonts w:ascii="宋体" w:hAnsi="宋体" w:eastAsia="宋体"/>
          <w:b w:val="0"/>
          <w:sz w:val="22"/>
        </w:rPr>
        <w:t>健康险和意外险占比超过70%</w:t>
      </w:r>
    </w:p>
    <w:p>
      <w:pPr>
        <w:pStyle w:val="ListBullet"/>
        <w:spacing w:line="360" w:lineRule="auto" w:after="40"/>
      </w:pPr>
      <w:r/>
      <w:r>
        <w:rPr>
          <w:rFonts w:ascii="宋体" w:hAnsi="宋体" w:eastAsia="宋体"/>
          <w:b w:val="0"/>
          <w:sz w:val="22"/>
        </w:rPr>
        <w:t>长期险产品线上化率不足8%，仍有较大提升空间</w:t>
      </w:r>
    </w:p>
    <w:p>
      <w:pPr>
        <w:spacing w:before="120" w:after="40" w:line="360" w:lineRule="auto"/>
      </w:pPr>
      <w:r>
        <w:rPr>
          <w:rFonts w:ascii="宋体" w:hAnsi="宋体" w:eastAsia="宋体"/>
          <w:b/>
          <w:sz w:val="22"/>
        </w:rPr>
        <w:t>技术赋能</w:t>
      </w:r>
    </w:p>
    <w:p>
      <w:pPr>
        <w:pStyle w:val="ListBullet"/>
        <w:spacing w:line="360" w:lineRule="auto" w:after="40"/>
      </w:pPr>
      <w:r/>
      <w:r>
        <w:rPr>
          <w:rFonts w:ascii="宋体" w:hAnsi="宋体" w:eastAsia="宋体"/>
          <w:b w:val="0"/>
          <w:sz w:val="22"/>
        </w:rPr>
        <w:t>智能核保覆盖率超过90%，秒级出单成为标配</w:t>
      </w:r>
    </w:p>
    <w:p>
      <w:pPr>
        <w:pStyle w:val="ListBullet"/>
        <w:spacing w:line="360" w:lineRule="auto" w:after="40"/>
      </w:pPr>
      <w:r/>
      <w:r>
        <w:rPr>
          <w:rFonts w:ascii="宋体" w:hAnsi="宋体" w:eastAsia="宋体"/>
          <w:b w:val="0"/>
          <w:sz w:val="22"/>
        </w:rPr>
        <w:t>AI客服处理超过80%的在线咨询</w:t>
      </w:r>
    </w:p>
    <w:p>
      <w:pPr>
        <w:pStyle w:val="ListBullet"/>
        <w:spacing w:line="360" w:lineRule="auto" w:after="40"/>
      </w:pPr>
      <w:r/>
      <w:r>
        <w:rPr>
          <w:rFonts w:ascii="宋体" w:hAnsi="宋体" w:eastAsia="宋体"/>
          <w:b w:val="0"/>
          <w:sz w:val="22"/>
        </w:rPr>
        <w:t>电子保单普及率达95%以上</w:t>
      </w:r>
    </w:p>
    <w:p>
      <w:r>
        <w:br w:type="page"/>
      </w:r>
    </w:p>
    <w:p>
      <w:pPr>
        <w:pStyle w:val="Heading1"/>
      </w:pPr>
      <w:r>
        <w:rPr>
          <w:rFonts w:ascii="黑体" w:hAnsi="黑体" w:eastAsia="黑体"/>
          <w:b/>
          <w:sz w:val="36"/>
        </w:rPr>
        <w:t>第六章  风险管理与理赔服务</w:t>
      </w:r>
    </w:p>
    <w:p>
      <w:pPr>
        <w:pStyle w:val="Heading2"/>
      </w:pPr>
      <w:r>
        <w:rPr>
          <w:rFonts w:ascii="黑体" w:hAnsi="黑体" w:eastAsia="黑体"/>
          <w:b/>
          <w:sz w:val="30"/>
        </w:rPr>
        <w:t>6.1  风险评估体系</w:t>
      </w:r>
    </w:p>
    <w:p>
      <w:pPr>
        <w:spacing w:line="360" w:lineRule="auto" w:after="80"/>
        <w:ind w:firstLine="442"/>
      </w:pPr>
      <w:r>
        <w:rPr>
          <w:rFonts w:ascii="宋体" w:hAnsi="宋体" w:eastAsia="宋体"/>
          <w:b w:val="0"/>
          <w:sz w:val="22"/>
        </w:rPr>
        <w:t>二季度行业风险管理能力持续提升，偿付能力总体充足，风险防线进一步筑牢。</w:t>
      </w:r>
    </w:p>
    <w:p>
      <w:pPr>
        <w:spacing w:before="120" w:after="40" w:line="360" w:lineRule="auto"/>
      </w:pPr>
      <w:r>
        <w:rPr>
          <w:rFonts w:ascii="宋体" w:hAnsi="宋体" w:eastAsia="宋体"/>
          <w:b/>
          <w:sz w:val="22"/>
        </w:rPr>
        <w:t>偿付能力状况</w:t>
      </w:r>
    </w:p>
    <w:p>
      <w:pPr>
        <w:pStyle w:val="ListBullet"/>
        <w:spacing w:line="360" w:lineRule="auto" w:after="40"/>
      </w:pPr>
      <w:r/>
      <w:r>
        <w:rPr>
          <w:rFonts w:ascii="宋体" w:hAnsi="宋体" w:eastAsia="宋体"/>
          <w:b w:val="0"/>
          <w:sz w:val="22"/>
        </w:rPr>
        <w:t>行业平均综合偿付能力充足率为196%，较一季度下降3个百分点</w:t>
      </w:r>
    </w:p>
    <w:p>
      <w:pPr>
        <w:pStyle w:val="ListBullet"/>
        <w:spacing w:line="360" w:lineRule="auto" w:after="40"/>
      </w:pPr>
      <w:r/>
      <w:r>
        <w:rPr>
          <w:rFonts w:ascii="宋体" w:hAnsi="宋体" w:eastAsia="宋体"/>
          <w:b w:val="0"/>
          <w:sz w:val="22"/>
        </w:rPr>
        <w:t>人身险公司平均核心偿付能力充足率为112%</w:t>
      </w:r>
    </w:p>
    <w:p>
      <w:pPr>
        <w:pStyle w:val="ListBullet"/>
        <w:spacing w:line="360" w:lineRule="auto" w:after="40"/>
      </w:pPr>
      <w:r/>
      <w:r>
        <w:rPr>
          <w:rFonts w:ascii="宋体" w:hAnsi="宋体" w:eastAsia="宋体"/>
          <w:b w:val="0"/>
          <w:sz w:val="22"/>
        </w:rPr>
        <w:t>财产险公司平均综合偿付能力充足率为235%</w:t>
      </w:r>
    </w:p>
    <w:p>
      <w:pPr>
        <w:spacing w:before="120" w:after="40" w:line="360" w:lineRule="auto"/>
      </w:pPr>
      <w:r>
        <w:rPr>
          <w:rFonts w:ascii="宋体" w:hAnsi="宋体" w:eastAsia="宋体"/>
          <w:b/>
          <w:sz w:val="22"/>
        </w:rPr>
        <w:t>风险管理强化</w:t>
      </w:r>
    </w:p>
    <w:p>
      <w:pPr>
        <w:pStyle w:val="ListBullet"/>
        <w:spacing w:line="360" w:lineRule="auto" w:after="40"/>
      </w:pPr>
      <w:r/>
      <w:r>
        <w:rPr>
          <w:rFonts w:ascii="宋体" w:hAnsi="宋体" w:eastAsia="宋体"/>
          <w:b w:val="0"/>
          <w:sz w:val="22"/>
        </w:rPr>
        <w:t>偿二代二期工程规则修订推进，穿透式监管要求加码</w:t>
      </w:r>
    </w:p>
    <w:p>
      <w:pPr>
        <w:pStyle w:val="ListBullet"/>
        <w:spacing w:line="360" w:lineRule="auto" w:after="40"/>
      </w:pPr>
      <w:r/>
      <w:r>
        <w:rPr>
          <w:rFonts w:ascii="宋体" w:hAnsi="宋体" w:eastAsia="宋体"/>
          <w:b w:val="0"/>
          <w:sz w:val="22"/>
        </w:rPr>
        <w:t>资产负债管理能力评估结果纳入分类监管</w:t>
      </w:r>
    </w:p>
    <w:p>
      <w:pPr>
        <w:pStyle w:val="ListBullet"/>
        <w:spacing w:line="360" w:lineRule="auto" w:after="40"/>
      </w:pPr>
      <w:r/>
      <w:r>
        <w:rPr>
          <w:rFonts w:ascii="宋体" w:hAnsi="宋体" w:eastAsia="宋体"/>
          <w:b w:val="0"/>
          <w:sz w:val="22"/>
        </w:rPr>
        <w:t>流动性风险监测指标体系完善</w:t>
      </w:r>
    </w:p>
    <w:p>
      <w:pPr>
        <w:spacing w:before="120" w:after="40" w:line="360" w:lineRule="auto"/>
      </w:pPr>
      <w:r>
        <w:rPr>
          <w:rFonts w:ascii="宋体" w:hAnsi="宋体" w:eastAsia="宋体"/>
          <w:b/>
          <w:sz w:val="22"/>
        </w:rPr>
        <w:t>压力测试</w:t>
      </w:r>
    </w:p>
    <w:p>
      <w:pPr>
        <w:pStyle w:val="ListBullet"/>
        <w:spacing w:line="360" w:lineRule="auto" w:after="40"/>
      </w:pPr>
      <w:r/>
      <w:r>
        <w:rPr>
          <w:rFonts w:ascii="宋体" w:hAnsi="宋体" w:eastAsia="宋体"/>
          <w:b w:val="0"/>
          <w:sz w:val="22"/>
        </w:rPr>
        <w:t>利率下行100BP情景下，约15%的人身险公司出现利差损</w:t>
      </w:r>
    </w:p>
    <w:p>
      <w:pPr>
        <w:pStyle w:val="ListBullet"/>
        <w:spacing w:line="360" w:lineRule="auto" w:after="40"/>
      </w:pPr>
      <w:r/>
      <w:r>
        <w:rPr>
          <w:rFonts w:ascii="宋体" w:hAnsi="宋体" w:eastAsia="宋体"/>
          <w:b w:val="0"/>
          <w:sz w:val="22"/>
        </w:rPr>
        <w:t>权益市场下跌20%情景下，行业偿付能力下降约8个百分点</w:t>
      </w:r>
    </w:p>
    <w:p>
      <w:pPr>
        <w:pStyle w:val="ListBullet"/>
        <w:spacing w:line="360" w:lineRule="auto" w:after="40"/>
      </w:pPr>
      <w:r/>
      <w:r>
        <w:rPr>
          <w:rFonts w:ascii="宋体" w:hAnsi="宋体" w:eastAsia="宋体"/>
          <w:b w:val="0"/>
          <w:sz w:val="22"/>
        </w:rPr>
        <w:t>巨灾情景测试覆盖范围扩大至所有经营巨灾险种的机构</w:t>
      </w:r>
    </w:p>
    <w:p>
      <w:pPr>
        <w:pStyle w:val="Heading2"/>
      </w:pPr>
      <w:r>
        <w:rPr>
          <w:rFonts w:ascii="黑体" w:hAnsi="黑体" w:eastAsia="黑体"/>
          <w:b/>
          <w:sz w:val="30"/>
        </w:rPr>
        <w:t>6.2  理赔服务效率</w:t>
      </w:r>
    </w:p>
    <w:p>
      <w:pPr>
        <w:spacing w:line="360" w:lineRule="auto" w:after="80"/>
        <w:ind w:firstLine="442"/>
      </w:pPr>
      <w:r>
        <w:rPr>
          <w:rFonts w:ascii="宋体" w:hAnsi="宋体" w:eastAsia="宋体"/>
          <w:b w:val="0"/>
          <w:sz w:val="22"/>
        </w:rPr>
        <w:t>理赔服务质量和效率持续提升，客户体验改善明显。科技赋能推动理赔流程智能化升级。</w:t>
      </w:r>
    </w:p>
    <w:p>
      <w:pPr>
        <w:spacing w:before="120" w:after="40" w:line="360" w:lineRule="auto"/>
      </w:pPr>
      <w:r>
        <w:rPr>
          <w:rFonts w:ascii="宋体" w:hAnsi="宋体" w:eastAsia="宋体"/>
          <w:b/>
          <w:sz w:val="22"/>
        </w:rPr>
        <w:t>理赔效率指标</w:t>
      </w:r>
    </w:p>
    <w:p>
      <w:pPr>
        <w:pStyle w:val="ListBullet"/>
        <w:spacing w:line="360" w:lineRule="auto" w:after="40"/>
      </w:pPr>
      <w:r/>
      <w:r>
        <w:rPr>
          <w:rFonts w:ascii="宋体" w:hAnsi="宋体" w:eastAsia="宋体"/>
          <w:b w:val="0"/>
          <w:sz w:val="22"/>
        </w:rPr>
        <w:t>案均理赔周期缩短至2.8天，同比缩短0.5天</w:t>
      </w:r>
    </w:p>
    <w:p>
      <w:pPr>
        <w:pStyle w:val="ListBullet"/>
        <w:spacing w:line="360" w:lineRule="auto" w:after="40"/>
      </w:pPr>
      <w:r/>
      <w:r>
        <w:rPr>
          <w:rFonts w:ascii="宋体" w:hAnsi="宋体" w:eastAsia="宋体"/>
          <w:b w:val="0"/>
          <w:sz w:val="22"/>
        </w:rPr>
        <w:t>小额案件秒赔覆盖率提升至35%</w:t>
      </w:r>
    </w:p>
    <w:p>
      <w:pPr>
        <w:pStyle w:val="ListBullet"/>
        <w:spacing w:line="360" w:lineRule="auto" w:after="40"/>
      </w:pPr>
      <w:r/>
      <w:r>
        <w:rPr>
          <w:rFonts w:ascii="宋体" w:hAnsi="宋体" w:eastAsia="宋体"/>
          <w:b w:val="0"/>
          <w:sz w:val="22"/>
        </w:rPr>
        <w:t>理赔线上化率达到78%</w:t>
      </w:r>
    </w:p>
    <w:p>
      <w:pPr>
        <w:spacing w:before="160" w:after="80"/>
        <w:jc w:val="center"/>
      </w:pPr>
      <w:r>
        <w:drawing>
          <wp:inline xmlns:a="http://schemas.openxmlformats.org/drawingml/2006/main" xmlns:pic="http://schemas.openxmlformats.org/drawingml/2006/picture">
            <wp:extent cx="5040000" cy="3579130"/>
            <wp:docPr id="4" name="Picture 4"/>
            <wp:cNvGraphicFramePr>
              <a:graphicFrameLocks noChangeAspect="1"/>
            </wp:cNvGraphicFramePr>
            <a:graphic>
              <a:graphicData uri="http://schemas.openxmlformats.org/drawingml/2006/picture">
                <pic:pic>
                  <pic:nvPicPr>
                    <pic:cNvPr id="0" name="fig4_理赔时效.png"/>
                    <pic:cNvPicPr/>
                  </pic:nvPicPr>
                  <pic:blipFill>
                    <a:blip r:embed="rId13"/>
                    <a:stretch>
                      <a:fillRect/>
                    </a:stretch>
                  </pic:blipFill>
                  <pic:spPr>
                    <a:xfrm>
                      <a:off x="0" y="0"/>
                      <a:ext cx="5040000" cy="3579130"/>
                    </a:xfrm>
                    <a:prstGeom prst="rect"/>
                  </pic:spPr>
                </pic:pic>
              </a:graphicData>
            </a:graphic>
          </wp:inline>
        </w:drawing>
      </w:r>
    </w:p>
    <w:p>
      <w:pPr>
        <w:spacing w:after="160"/>
        <w:jc w:val="center"/>
      </w:pPr>
      <w:r>
        <w:rPr>
          <w:rFonts w:ascii="宋体" w:hAnsi="宋体" w:eastAsia="宋体"/>
          <w:b/>
          <w:color w:val="666666"/>
          <w:sz w:val="20"/>
        </w:rPr>
        <w:t>图4：2024-2026年理赔时效对比</w:t>
      </w:r>
    </w:p>
    <w:p>
      <w:pPr>
        <w:spacing w:before="120" w:after="40" w:line="360" w:lineRule="auto"/>
      </w:pPr>
      <w:r>
        <w:rPr>
          <w:rFonts w:ascii="宋体" w:hAnsi="宋体" w:eastAsia="宋体"/>
          <w:b/>
          <w:sz w:val="22"/>
        </w:rPr>
        <w:t>服务创新</w:t>
      </w:r>
    </w:p>
    <w:p>
      <w:pPr>
        <w:pStyle w:val="ListBullet"/>
        <w:spacing w:line="360" w:lineRule="auto" w:after="40"/>
      </w:pPr>
      <w:r/>
      <w:r>
        <w:rPr>
          <w:rFonts w:ascii="宋体" w:hAnsi="宋体" w:eastAsia="宋体"/>
          <w:b w:val="0"/>
          <w:sz w:val="22"/>
        </w:rPr>
        <w:t>"闪赔"服务覆盖范围扩大，5,000元以下案件实现1小时内赔付</w:t>
      </w:r>
    </w:p>
    <w:p>
      <w:pPr>
        <w:pStyle w:val="ListBullet"/>
        <w:spacing w:line="360" w:lineRule="auto" w:after="40"/>
      </w:pPr>
      <w:r/>
      <w:r>
        <w:rPr>
          <w:rFonts w:ascii="宋体" w:hAnsi="宋体" w:eastAsia="宋体"/>
          <w:b w:val="0"/>
          <w:sz w:val="22"/>
        </w:rPr>
        <w:t>医疗险理赔与医院直连直付试点扩大至200家医院</w:t>
      </w:r>
    </w:p>
    <w:p>
      <w:pPr>
        <w:pStyle w:val="ListBullet"/>
        <w:spacing w:line="360" w:lineRule="auto" w:after="40"/>
      </w:pPr>
      <w:r/>
      <w:r>
        <w:rPr>
          <w:rFonts w:ascii="宋体" w:hAnsi="宋体" w:eastAsia="宋体"/>
          <w:b w:val="0"/>
          <w:sz w:val="22"/>
        </w:rPr>
        <w:t>理赔智能审核系统准确率达到92%</w:t>
      </w:r>
    </w:p>
    <w:p>
      <w:pPr>
        <w:spacing w:before="120" w:after="40" w:line="360" w:lineRule="auto"/>
      </w:pPr>
      <w:r>
        <w:rPr>
          <w:rFonts w:ascii="宋体" w:hAnsi="宋体" w:eastAsia="宋体"/>
          <w:b/>
          <w:sz w:val="22"/>
        </w:rPr>
        <w:t>客户满意度</w:t>
      </w:r>
    </w:p>
    <w:p>
      <w:pPr>
        <w:pStyle w:val="ListBullet"/>
        <w:spacing w:line="360" w:lineRule="auto" w:after="40"/>
      </w:pPr>
      <w:r/>
      <w:r>
        <w:rPr>
          <w:rFonts w:ascii="宋体" w:hAnsi="宋体" w:eastAsia="宋体"/>
          <w:b w:val="0"/>
          <w:sz w:val="22"/>
        </w:rPr>
        <w:t>理赔客户满意度评分为86.5分（满分100），同比提升2.3分</w:t>
      </w:r>
    </w:p>
    <w:p>
      <w:pPr>
        <w:pStyle w:val="ListBullet"/>
        <w:spacing w:line="360" w:lineRule="auto" w:after="40"/>
      </w:pPr>
      <w:r/>
      <w:r>
        <w:rPr>
          <w:rFonts w:ascii="宋体" w:hAnsi="宋体" w:eastAsia="宋体"/>
          <w:b w:val="0"/>
          <w:sz w:val="22"/>
        </w:rPr>
        <w:t>投诉率下降至万分之3.2</w:t>
      </w:r>
    </w:p>
    <w:p>
      <w:pPr>
        <w:pStyle w:val="ListBullet"/>
        <w:spacing w:line="360" w:lineRule="auto" w:after="40"/>
      </w:pPr>
      <w:r/>
      <w:r>
        <w:rPr>
          <w:rFonts w:ascii="宋体" w:hAnsi="宋体" w:eastAsia="宋体"/>
          <w:b w:val="0"/>
          <w:sz w:val="22"/>
        </w:rPr>
        <w:t>重复购买率提升至41%</w:t>
      </w:r>
    </w:p>
    <w:p>
      <w:pPr>
        <w:pStyle w:val="Heading2"/>
      </w:pPr>
      <w:r>
        <w:rPr>
          <w:rFonts w:ascii="黑体" w:hAnsi="黑体" w:eastAsia="黑体"/>
          <w:b/>
          <w:sz w:val="30"/>
        </w:rPr>
        <w:t>6.3  反欺诈技术应用</w:t>
      </w:r>
    </w:p>
    <w:p>
      <w:pPr>
        <w:spacing w:line="360" w:lineRule="auto" w:after="80"/>
        <w:ind w:firstLine="442"/>
      </w:pPr>
      <w:r>
        <w:rPr>
          <w:rFonts w:ascii="宋体" w:hAnsi="宋体" w:eastAsia="宋体"/>
          <w:b w:val="0"/>
          <w:sz w:val="22"/>
        </w:rPr>
        <w:t>反欺诈技术能力在本季度取得显著突破，AI和大数据驱动的智能反欺诈体系初步建成。</w:t>
      </w:r>
    </w:p>
    <w:p>
      <w:pPr>
        <w:spacing w:before="120" w:after="40" w:line="360" w:lineRule="auto"/>
      </w:pPr>
      <w:r>
        <w:rPr>
          <w:rFonts w:ascii="宋体" w:hAnsi="宋体" w:eastAsia="宋体"/>
          <w:b/>
          <w:sz w:val="22"/>
        </w:rPr>
        <w:t>技术应用</w:t>
      </w:r>
    </w:p>
    <w:p>
      <w:pPr>
        <w:pStyle w:val="ListBullet"/>
        <w:spacing w:line="360" w:lineRule="auto" w:after="40"/>
      </w:pPr>
      <w:r/>
      <w:r>
        <w:rPr>
          <w:rFonts w:ascii="宋体" w:hAnsi="宋体" w:eastAsia="宋体"/>
          <w:b w:val="0"/>
          <w:sz w:val="22"/>
        </w:rPr>
        <w:t>AI反欺诈模型识别准确率达到89%，误报率控制在5%以内</w:t>
      </w:r>
    </w:p>
    <w:p>
      <w:pPr>
        <w:pStyle w:val="ListBullet"/>
        <w:spacing w:line="360" w:lineRule="auto" w:after="40"/>
      </w:pPr>
      <w:r/>
      <w:r>
        <w:rPr>
          <w:rFonts w:ascii="宋体" w:hAnsi="宋体" w:eastAsia="宋体"/>
          <w:b w:val="0"/>
          <w:sz w:val="22"/>
        </w:rPr>
        <w:t>图数据库技术应用于团伙欺诈识别，挽回损失约12亿元</w:t>
      </w:r>
    </w:p>
    <w:p>
      <w:pPr>
        <w:pStyle w:val="ListBullet"/>
        <w:spacing w:line="360" w:lineRule="auto" w:after="40"/>
      </w:pPr>
      <w:r/>
      <w:r>
        <w:rPr>
          <w:rFonts w:ascii="宋体" w:hAnsi="宋体" w:eastAsia="宋体"/>
          <w:b w:val="0"/>
          <w:sz w:val="22"/>
        </w:rPr>
        <w:t>区块链技术用于理赔数据防篡改，覆盖30%以上的理赔案件</w:t>
      </w:r>
    </w:p>
    <w:p>
      <w:pPr>
        <w:spacing w:before="120" w:after="40" w:line="360" w:lineRule="auto"/>
      </w:pPr>
      <w:r>
        <w:rPr>
          <w:rFonts w:ascii="宋体" w:hAnsi="宋体" w:eastAsia="宋体"/>
          <w:b/>
          <w:sz w:val="22"/>
        </w:rPr>
        <w:t>成效评估</w:t>
      </w:r>
    </w:p>
    <w:p>
      <w:pPr>
        <w:pStyle w:val="ListBullet"/>
        <w:spacing w:line="360" w:lineRule="auto" w:after="40"/>
      </w:pPr>
      <w:r/>
      <w:r>
        <w:rPr>
          <w:rFonts w:ascii="宋体" w:hAnsi="宋体" w:eastAsia="宋体"/>
          <w:b w:val="0"/>
          <w:sz w:val="22"/>
        </w:rPr>
        <w:t>疑似欺诈案件识别量同比增长25%</w:t>
      </w:r>
    </w:p>
    <w:p>
      <w:pPr>
        <w:pStyle w:val="ListBullet"/>
        <w:spacing w:line="360" w:lineRule="auto" w:after="40"/>
      </w:pPr>
      <w:r/>
      <w:r>
        <w:rPr>
          <w:rFonts w:ascii="宋体" w:hAnsi="宋体" w:eastAsia="宋体"/>
          <w:b w:val="0"/>
          <w:sz w:val="22"/>
        </w:rPr>
        <w:t>实际欺诈减损金额约8.5亿元</w:t>
      </w:r>
    </w:p>
    <w:p>
      <w:pPr>
        <w:pStyle w:val="ListBullet"/>
        <w:spacing w:line="360" w:lineRule="auto" w:after="40"/>
      </w:pPr>
      <w:r/>
      <w:r>
        <w:rPr>
          <w:rFonts w:ascii="宋体" w:hAnsi="宋体" w:eastAsia="宋体"/>
          <w:b w:val="0"/>
          <w:sz w:val="22"/>
        </w:rPr>
        <w:t>行业反欺诈信息共享平台覆盖机构增至120家</w:t>
      </w:r>
    </w:p>
    <w:p>
      <w:r>
        <w:br w:type="page"/>
      </w:r>
    </w:p>
    <w:p>
      <w:pPr>
        <w:pStyle w:val="Heading1"/>
      </w:pPr>
      <w:r>
        <w:rPr>
          <w:rFonts w:ascii="黑体" w:hAnsi="黑体" w:eastAsia="黑体"/>
          <w:b/>
          <w:sz w:val="36"/>
        </w:rPr>
        <w:t>第七章  行业竞争格局</w:t>
      </w:r>
    </w:p>
    <w:p>
      <w:pPr>
        <w:spacing w:line="360" w:lineRule="auto" w:after="80"/>
        <w:ind w:firstLine="442"/>
      </w:pPr>
      <w:r>
        <w:rPr>
          <w:rFonts w:ascii="宋体" w:hAnsi="宋体" w:eastAsia="宋体"/>
          <w:b w:val="0"/>
          <w:sz w:val="22"/>
        </w:rPr>
        <w:t>本季度保险行业竞争格局呈现出"头部稳健、腰部分化、尾部出清"的态势。市场集中度小幅下降，但头部险企的领先地位依然稳固。</w:t>
      </w:r>
    </w:p>
    <w:p>
      <w:pPr>
        <w:spacing w:before="120" w:after="40" w:line="360" w:lineRule="auto"/>
      </w:pPr>
      <w:r>
        <w:rPr>
          <w:rFonts w:ascii="宋体" w:hAnsi="宋体" w:eastAsia="宋体"/>
          <w:b/>
          <w:sz w:val="22"/>
        </w:rPr>
        <w:t>市场集中度</w:t>
      </w:r>
    </w:p>
    <w:p>
      <w:pPr>
        <w:pStyle w:val="ListBullet"/>
        <w:spacing w:line="360" w:lineRule="auto" w:after="40"/>
      </w:pPr>
      <w:r/>
      <w:r>
        <w:rPr>
          <w:rFonts w:ascii="宋体" w:hAnsi="宋体" w:eastAsia="宋体"/>
          <w:b w:val="0"/>
          <w:sz w:val="22"/>
        </w:rPr>
        <w:t>人身险市场CR5为54.2%，较去年同期下降0.5个百分点</w:t>
      </w:r>
    </w:p>
    <w:p>
      <w:pPr>
        <w:pStyle w:val="ListBullet"/>
        <w:spacing w:line="360" w:lineRule="auto" w:after="40"/>
      </w:pPr>
      <w:r/>
      <w:r>
        <w:rPr>
          <w:rFonts w:ascii="宋体" w:hAnsi="宋体" w:eastAsia="宋体"/>
          <w:b w:val="0"/>
          <w:sz w:val="22"/>
        </w:rPr>
        <w:t>财产险市场CR5为63.8%，与去年同期基本持平</w:t>
      </w:r>
    </w:p>
    <w:p>
      <w:pPr>
        <w:pStyle w:val="ListBullet"/>
        <w:spacing w:line="360" w:lineRule="auto" w:after="40"/>
      </w:pPr>
      <w:r/>
      <w:r>
        <w:rPr>
          <w:rFonts w:ascii="宋体" w:hAnsi="宋体" w:eastAsia="宋体"/>
          <w:b w:val="0"/>
          <w:sz w:val="22"/>
        </w:rPr>
        <w:t>中小险企市场份额分化加剧，部分公司实现逆势增长</w:t>
      </w:r>
    </w:p>
    <w:p>
      <w:pPr>
        <w:spacing w:before="160" w:after="80"/>
        <w:jc w:val="center"/>
      </w:pPr>
      <w:r>
        <w:rPr>
          <w:rFonts w:ascii="宋体" w:hAnsi="宋体" w:eastAsia="宋体"/>
          <w:b/>
          <w:color w:val="666666"/>
          <w:sz w:val="20"/>
        </w:rPr>
        <w:t>表3：2026年Q2主要保险公司保费收入排名</w:t>
      </w:r>
    </w:p>
    <w:tbl>
      <w:tblPr>
        <w:tblStyle w:val="TableGrid"/>
        <w:tblW w:type="auto" w:w="0"/>
        <w:jc w:val="center"/>
        <w:tblLook w:firstColumn="1" w:firstRow="1" w:lastColumn="0" w:lastRow="0" w:noHBand="0" w:noVBand="1" w:val="04A0"/>
      </w:tblPr>
      <w:tblGrid>
        <w:gridCol w:w="1660"/>
        <w:gridCol w:w="1660"/>
        <w:gridCol w:w="1660"/>
        <w:gridCol w:w="1660"/>
        <w:gridCol w:w="1660"/>
      </w:tblGrid>
      <w:tr>
        <w:tc>
          <w:tcPr>
            <w:tcW w:type="dxa" w:w="1660"/>
            <w:shd w:fill="D9E2F3"/>
          </w:tcPr>
          <w:p>
            <w:pPr>
              <w:jc w:val="center"/>
            </w:pPr>
            <w:r/>
            <w:r>
              <w:rPr>
                <w:rFonts w:ascii="宋体" w:hAnsi="宋体" w:eastAsia="宋体"/>
                <w:b/>
                <w:sz w:val="21"/>
              </w:rPr>
              <w:t>排名</w:t>
            </w:r>
          </w:p>
        </w:tc>
        <w:tc>
          <w:tcPr>
            <w:tcW w:type="dxa" w:w="1660"/>
            <w:shd w:fill="D9E2F3"/>
          </w:tcPr>
          <w:p>
            <w:pPr>
              <w:jc w:val="center"/>
            </w:pPr>
            <w:r/>
            <w:r>
              <w:rPr>
                <w:rFonts w:ascii="宋体" w:hAnsi="宋体" w:eastAsia="宋体"/>
                <w:b/>
                <w:sz w:val="21"/>
              </w:rPr>
              <w:t>公司名称</w:t>
            </w:r>
          </w:p>
        </w:tc>
        <w:tc>
          <w:tcPr>
            <w:tcW w:type="dxa" w:w="1660"/>
            <w:shd w:fill="D9E2F3"/>
          </w:tcPr>
          <w:p>
            <w:pPr>
              <w:jc w:val="center"/>
            </w:pPr>
            <w:r/>
            <w:r>
              <w:rPr>
                <w:rFonts w:ascii="宋体" w:hAnsi="宋体" w:eastAsia="宋体"/>
                <w:b/>
                <w:sz w:val="21"/>
              </w:rPr>
              <w:t>保费收入(亿元)</w:t>
            </w:r>
          </w:p>
        </w:tc>
        <w:tc>
          <w:tcPr>
            <w:tcW w:type="dxa" w:w="1660"/>
            <w:shd w:fill="D9E2F3"/>
          </w:tcPr>
          <w:p>
            <w:pPr>
              <w:jc w:val="center"/>
            </w:pPr>
            <w:r/>
            <w:r>
              <w:rPr>
                <w:rFonts w:ascii="宋体" w:hAnsi="宋体" w:eastAsia="宋体"/>
                <w:b/>
                <w:sz w:val="21"/>
              </w:rPr>
              <w:t>同比增长</w:t>
            </w:r>
          </w:p>
        </w:tc>
        <w:tc>
          <w:tcPr>
            <w:tcW w:type="dxa" w:w="1660"/>
            <w:shd w:fill="D9E2F3"/>
          </w:tcPr>
          <w:p>
            <w:pPr>
              <w:jc w:val="center"/>
            </w:pPr>
            <w:r/>
            <w:r>
              <w:rPr>
                <w:rFonts w:ascii="宋体" w:hAnsi="宋体" w:eastAsia="宋体"/>
                <w:b/>
                <w:sz w:val="21"/>
              </w:rPr>
              <w:t>市场份额</w:t>
            </w:r>
          </w:p>
        </w:tc>
      </w:tr>
      <w:tr>
        <w:tc>
          <w:tcPr>
            <w:tcW w:type="dxa" w:w="1660"/>
          </w:tcPr>
          <w:p>
            <w:pPr>
              <w:jc w:val="center"/>
            </w:pPr>
            <w:r/>
            <w:r>
              <w:rPr>
                <w:rFonts w:ascii="宋体" w:hAnsi="宋体" w:eastAsia="宋体"/>
                <w:b w:val="0"/>
                <w:sz w:val="21"/>
              </w:rPr>
              <w:t>1</w:t>
            </w:r>
          </w:p>
        </w:tc>
        <w:tc>
          <w:tcPr>
            <w:tcW w:type="dxa" w:w="1660"/>
          </w:tcPr>
          <w:p>
            <w:pPr>
              <w:jc w:val="center"/>
            </w:pPr>
            <w:r/>
            <w:r>
              <w:rPr>
                <w:rFonts w:ascii="宋体" w:hAnsi="宋体" w:eastAsia="宋体"/>
                <w:b w:val="0"/>
                <w:sz w:val="21"/>
              </w:rPr>
              <w:t>平安人寿</w:t>
            </w:r>
          </w:p>
        </w:tc>
        <w:tc>
          <w:tcPr>
            <w:tcW w:type="dxa" w:w="1660"/>
          </w:tcPr>
          <w:p>
            <w:pPr>
              <w:jc w:val="center"/>
            </w:pPr>
            <w:r/>
            <w:r>
              <w:rPr>
                <w:rFonts w:ascii="宋体" w:hAnsi="宋体" w:eastAsia="宋体"/>
                <w:b w:val="0"/>
                <w:sz w:val="21"/>
              </w:rPr>
              <w:t>3,200</w:t>
            </w:r>
          </w:p>
        </w:tc>
        <w:tc>
          <w:tcPr>
            <w:tcW w:type="dxa" w:w="1660"/>
          </w:tcPr>
          <w:p>
            <w:pPr>
              <w:jc w:val="center"/>
            </w:pPr>
            <w:r/>
            <w:r>
              <w:rPr>
                <w:rFonts w:ascii="宋体" w:hAnsi="宋体" w:eastAsia="宋体"/>
                <w:b w:val="0"/>
                <w:sz w:val="21"/>
              </w:rPr>
              <w:t>5.8%</w:t>
            </w:r>
          </w:p>
        </w:tc>
        <w:tc>
          <w:tcPr>
            <w:tcW w:type="dxa" w:w="1660"/>
          </w:tcPr>
          <w:p>
            <w:pPr>
              <w:jc w:val="center"/>
            </w:pPr>
            <w:r/>
            <w:r>
              <w:rPr>
                <w:rFonts w:ascii="宋体" w:hAnsi="宋体" w:eastAsia="宋体"/>
                <w:b w:val="0"/>
                <w:sz w:val="21"/>
              </w:rPr>
              <w:t>14.7%</w:t>
            </w:r>
          </w:p>
        </w:tc>
      </w:tr>
      <w:tr>
        <w:tc>
          <w:tcPr>
            <w:tcW w:type="dxa" w:w="1660"/>
          </w:tcPr>
          <w:p>
            <w:pPr>
              <w:jc w:val="center"/>
            </w:pPr>
            <w:r/>
            <w:r>
              <w:rPr>
                <w:rFonts w:ascii="宋体" w:hAnsi="宋体" w:eastAsia="宋体"/>
                <w:b w:val="0"/>
                <w:sz w:val="21"/>
              </w:rPr>
              <w:t>2</w:t>
            </w:r>
          </w:p>
        </w:tc>
        <w:tc>
          <w:tcPr>
            <w:tcW w:type="dxa" w:w="1660"/>
          </w:tcPr>
          <w:p>
            <w:pPr>
              <w:jc w:val="center"/>
            </w:pPr>
            <w:r/>
            <w:r>
              <w:rPr>
                <w:rFonts w:ascii="宋体" w:hAnsi="宋体" w:eastAsia="宋体"/>
                <w:b w:val="0"/>
                <w:sz w:val="21"/>
              </w:rPr>
              <w:t>中国人寿</w:t>
            </w:r>
          </w:p>
        </w:tc>
        <w:tc>
          <w:tcPr>
            <w:tcW w:type="dxa" w:w="1660"/>
          </w:tcPr>
          <w:p>
            <w:pPr>
              <w:jc w:val="center"/>
            </w:pPr>
            <w:r/>
            <w:r>
              <w:rPr>
                <w:rFonts w:ascii="宋体" w:hAnsi="宋体" w:eastAsia="宋体"/>
                <w:b w:val="0"/>
                <w:sz w:val="21"/>
              </w:rPr>
              <w:t>2,950</w:t>
            </w:r>
          </w:p>
        </w:tc>
        <w:tc>
          <w:tcPr>
            <w:tcW w:type="dxa" w:w="1660"/>
          </w:tcPr>
          <w:p>
            <w:pPr>
              <w:jc w:val="center"/>
            </w:pPr>
            <w:r/>
            <w:r>
              <w:rPr>
                <w:rFonts w:ascii="宋体" w:hAnsi="宋体" w:eastAsia="宋体"/>
                <w:b w:val="0"/>
                <w:sz w:val="21"/>
              </w:rPr>
              <w:t>4.2%</w:t>
            </w:r>
          </w:p>
        </w:tc>
        <w:tc>
          <w:tcPr>
            <w:tcW w:type="dxa" w:w="1660"/>
          </w:tcPr>
          <w:p>
            <w:pPr>
              <w:jc w:val="center"/>
            </w:pPr>
            <w:r/>
            <w:r>
              <w:rPr>
                <w:rFonts w:ascii="宋体" w:hAnsi="宋体" w:eastAsia="宋体"/>
                <w:b w:val="0"/>
                <w:sz w:val="21"/>
              </w:rPr>
              <w:t>13.5%</w:t>
            </w:r>
          </w:p>
        </w:tc>
      </w:tr>
      <w:tr>
        <w:tc>
          <w:tcPr>
            <w:tcW w:type="dxa" w:w="1660"/>
          </w:tcPr>
          <w:p>
            <w:pPr>
              <w:jc w:val="center"/>
            </w:pPr>
            <w:r/>
            <w:r>
              <w:rPr>
                <w:rFonts w:ascii="宋体" w:hAnsi="宋体" w:eastAsia="宋体"/>
                <w:b w:val="0"/>
                <w:sz w:val="21"/>
              </w:rPr>
              <w:t>3</w:t>
            </w:r>
          </w:p>
        </w:tc>
        <w:tc>
          <w:tcPr>
            <w:tcW w:type="dxa" w:w="1660"/>
          </w:tcPr>
          <w:p>
            <w:pPr>
              <w:jc w:val="center"/>
            </w:pPr>
            <w:r/>
            <w:r>
              <w:rPr>
                <w:rFonts w:ascii="宋体" w:hAnsi="宋体" w:eastAsia="宋体"/>
                <w:b w:val="0"/>
                <w:sz w:val="21"/>
              </w:rPr>
              <w:t>太保寿险</w:t>
            </w:r>
          </w:p>
        </w:tc>
        <w:tc>
          <w:tcPr>
            <w:tcW w:type="dxa" w:w="1660"/>
          </w:tcPr>
          <w:p>
            <w:pPr>
              <w:jc w:val="center"/>
            </w:pPr>
            <w:r/>
            <w:r>
              <w:rPr>
                <w:rFonts w:ascii="宋体" w:hAnsi="宋体" w:eastAsia="宋体"/>
                <w:b w:val="0"/>
                <w:sz w:val="21"/>
              </w:rPr>
              <w:t>1,680</w:t>
            </w:r>
          </w:p>
        </w:tc>
        <w:tc>
          <w:tcPr>
            <w:tcW w:type="dxa" w:w="1660"/>
          </w:tcPr>
          <w:p>
            <w:pPr>
              <w:jc w:val="center"/>
            </w:pPr>
            <w:r/>
            <w:r>
              <w:rPr>
                <w:rFonts w:ascii="宋体" w:hAnsi="宋体" w:eastAsia="宋体"/>
                <w:b w:val="0"/>
                <w:sz w:val="21"/>
              </w:rPr>
              <w:t>8.5%</w:t>
            </w:r>
          </w:p>
        </w:tc>
        <w:tc>
          <w:tcPr>
            <w:tcW w:type="dxa" w:w="1660"/>
          </w:tcPr>
          <w:p>
            <w:pPr>
              <w:jc w:val="center"/>
            </w:pPr>
            <w:r/>
            <w:r>
              <w:rPr>
                <w:rFonts w:ascii="宋体" w:hAnsi="宋体" w:eastAsia="宋体"/>
                <w:b w:val="0"/>
                <w:sz w:val="21"/>
              </w:rPr>
              <w:t>7.7%</w:t>
            </w:r>
          </w:p>
        </w:tc>
      </w:tr>
      <w:tr>
        <w:tc>
          <w:tcPr>
            <w:tcW w:type="dxa" w:w="1660"/>
          </w:tcPr>
          <w:p>
            <w:pPr>
              <w:jc w:val="center"/>
            </w:pPr>
            <w:r/>
            <w:r>
              <w:rPr>
                <w:rFonts w:ascii="宋体" w:hAnsi="宋体" w:eastAsia="宋体"/>
                <w:b w:val="0"/>
                <w:sz w:val="21"/>
              </w:rPr>
              <w:t>4</w:t>
            </w:r>
          </w:p>
        </w:tc>
        <w:tc>
          <w:tcPr>
            <w:tcW w:type="dxa" w:w="1660"/>
          </w:tcPr>
          <w:p>
            <w:pPr>
              <w:jc w:val="center"/>
            </w:pPr>
            <w:r/>
            <w:r>
              <w:rPr>
                <w:rFonts w:ascii="宋体" w:hAnsi="宋体" w:eastAsia="宋体"/>
                <w:b w:val="0"/>
                <w:sz w:val="21"/>
              </w:rPr>
              <w:t>新华保险</w:t>
            </w:r>
          </w:p>
        </w:tc>
        <w:tc>
          <w:tcPr>
            <w:tcW w:type="dxa" w:w="1660"/>
          </w:tcPr>
          <w:p>
            <w:pPr>
              <w:jc w:val="center"/>
            </w:pPr>
            <w:r/>
            <w:r>
              <w:rPr>
                <w:rFonts w:ascii="宋体" w:hAnsi="宋体" w:eastAsia="宋体"/>
                <w:b w:val="0"/>
                <w:sz w:val="21"/>
              </w:rPr>
              <w:t>1,050</w:t>
            </w:r>
          </w:p>
        </w:tc>
        <w:tc>
          <w:tcPr>
            <w:tcW w:type="dxa" w:w="1660"/>
          </w:tcPr>
          <w:p>
            <w:pPr>
              <w:jc w:val="center"/>
            </w:pPr>
            <w:r/>
            <w:r>
              <w:rPr>
                <w:rFonts w:ascii="宋体" w:hAnsi="宋体" w:eastAsia="宋体"/>
                <w:b w:val="0"/>
                <w:sz w:val="21"/>
              </w:rPr>
              <w:t>6.2%</w:t>
            </w:r>
          </w:p>
        </w:tc>
        <w:tc>
          <w:tcPr>
            <w:tcW w:type="dxa" w:w="1660"/>
          </w:tcPr>
          <w:p>
            <w:pPr>
              <w:jc w:val="center"/>
            </w:pPr>
            <w:r/>
            <w:r>
              <w:rPr>
                <w:rFonts w:ascii="宋体" w:hAnsi="宋体" w:eastAsia="宋体"/>
                <w:b w:val="0"/>
                <w:sz w:val="21"/>
              </w:rPr>
              <w:t>4.8%</w:t>
            </w:r>
          </w:p>
        </w:tc>
      </w:tr>
      <w:tr>
        <w:tc>
          <w:tcPr>
            <w:tcW w:type="dxa" w:w="1660"/>
          </w:tcPr>
          <w:p>
            <w:pPr>
              <w:jc w:val="center"/>
            </w:pPr>
            <w:r/>
            <w:r>
              <w:rPr>
                <w:rFonts w:ascii="宋体" w:hAnsi="宋体" w:eastAsia="宋体"/>
                <w:b w:val="0"/>
                <w:sz w:val="21"/>
              </w:rPr>
              <w:t>5</w:t>
            </w:r>
          </w:p>
        </w:tc>
        <w:tc>
          <w:tcPr>
            <w:tcW w:type="dxa" w:w="1660"/>
          </w:tcPr>
          <w:p>
            <w:pPr>
              <w:jc w:val="center"/>
            </w:pPr>
            <w:r/>
            <w:r>
              <w:rPr>
                <w:rFonts w:ascii="宋体" w:hAnsi="宋体" w:eastAsia="宋体"/>
                <w:b w:val="0"/>
                <w:sz w:val="21"/>
              </w:rPr>
              <w:t>泰康人寿</w:t>
            </w:r>
          </w:p>
        </w:tc>
        <w:tc>
          <w:tcPr>
            <w:tcW w:type="dxa" w:w="1660"/>
          </w:tcPr>
          <w:p>
            <w:pPr>
              <w:jc w:val="center"/>
            </w:pPr>
            <w:r/>
            <w:r>
              <w:rPr>
                <w:rFonts w:ascii="宋体" w:hAnsi="宋体" w:eastAsia="宋体"/>
                <w:b w:val="0"/>
                <w:sz w:val="21"/>
              </w:rPr>
              <w:t>980</w:t>
            </w:r>
          </w:p>
        </w:tc>
        <w:tc>
          <w:tcPr>
            <w:tcW w:type="dxa" w:w="1660"/>
          </w:tcPr>
          <w:p>
            <w:pPr>
              <w:jc w:val="center"/>
            </w:pPr>
            <w:r/>
            <w:r>
              <w:rPr>
                <w:rFonts w:ascii="宋体" w:hAnsi="宋体" w:eastAsia="宋体"/>
                <w:b w:val="0"/>
                <w:sz w:val="21"/>
              </w:rPr>
              <w:t>7.1%</w:t>
            </w:r>
          </w:p>
        </w:tc>
        <w:tc>
          <w:tcPr>
            <w:tcW w:type="dxa" w:w="1660"/>
          </w:tcPr>
          <w:p>
            <w:pPr>
              <w:jc w:val="center"/>
            </w:pPr>
            <w:r/>
            <w:r>
              <w:rPr>
                <w:rFonts w:ascii="宋体" w:hAnsi="宋体" w:eastAsia="宋体"/>
                <w:b w:val="0"/>
                <w:sz w:val="21"/>
              </w:rPr>
              <w:t>4.5%</w:t>
            </w:r>
          </w:p>
        </w:tc>
      </w:tr>
      <w:tr>
        <w:tc>
          <w:tcPr>
            <w:tcW w:type="dxa" w:w="1660"/>
          </w:tcPr>
          <w:p>
            <w:pPr>
              <w:jc w:val="center"/>
            </w:pPr>
            <w:r/>
            <w:r>
              <w:rPr>
                <w:rFonts w:ascii="宋体" w:hAnsi="宋体" w:eastAsia="宋体"/>
                <w:b w:val="0"/>
                <w:sz w:val="21"/>
              </w:rPr>
              <w:t>6</w:t>
            </w:r>
          </w:p>
        </w:tc>
        <w:tc>
          <w:tcPr>
            <w:tcW w:type="dxa" w:w="1660"/>
          </w:tcPr>
          <w:p>
            <w:pPr>
              <w:jc w:val="center"/>
            </w:pPr>
            <w:r/>
            <w:r>
              <w:rPr>
                <w:rFonts w:ascii="宋体" w:hAnsi="宋体" w:eastAsia="宋体"/>
                <w:b w:val="0"/>
                <w:sz w:val="21"/>
              </w:rPr>
              <w:t>人保财险</w:t>
            </w:r>
          </w:p>
        </w:tc>
        <w:tc>
          <w:tcPr>
            <w:tcW w:type="dxa" w:w="1660"/>
          </w:tcPr>
          <w:p>
            <w:pPr>
              <w:jc w:val="center"/>
            </w:pPr>
            <w:r/>
            <w:r>
              <w:rPr>
                <w:rFonts w:ascii="宋体" w:hAnsi="宋体" w:eastAsia="宋体"/>
                <w:b w:val="0"/>
                <w:sz w:val="21"/>
              </w:rPr>
              <w:t>2,450</w:t>
            </w:r>
          </w:p>
        </w:tc>
        <w:tc>
          <w:tcPr>
            <w:tcW w:type="dxa" w:w="1660"/>
          </w:tcPr>
          <w:p>
            <w:pPr>
              <w:jc w:val="center"/>
            </w:pPr>
            <w:r/>
            <w:r>
              <w:rPr>
                <w:rFonts w:ascii="宋体" w:hAnsi="宋体" w:eastAsia="宋体"/>
                <w:b w:val="0"/>
                <w:sz w:val="21"/>
              </w:rPr>
              <w:t>5.0%</w:t>
            </w:r>
          </w:p>
        </w:tc>
        <w:tc>
          <w:tcPr>
            <w:tcW w:type="dxa" w:w="1660"/>
          </w:tcPr>
          <w:p>
            <w:pPr>
              <w:jc w:val="center"/>
            </w:pPr>
            <w:r/>
            <w:r>
              <w:rPr>
                <w:rFonts w:ascii="宋体" w:hAnsi="宋体" w:eastAsia="宋体"/>
                <w:b w:val="0"/>
                <w:sz w:val="21"/>
              </w:rPr>
              <w:t>11.2%</w:t>
            </w:r>
          </w:p>
        </w:tc>
      </w:tr>
      <w:tr>
        <w:tc>
          <w:tcPr>
            <w:tcW w:type="dxa" w:w="1660"/>
          </w:tcPr>
          <w:p>
            <w:pPr>
              <w:jc w:val="center"/>
            </w:pPr>
            <w:r/>
            <w:r>
              <w:rPr>
                <w:rFonts w:ascii="宋体" w:hAnsi="宋体" w:eastAsia="宋体"/>
                <w:b w:val="0"/>
                <w:sz w:val="21"/>
              </w:rPr>
              <w:t>7</w:t>
            </w:r>
          </w:p>
        </w:tc>
        <w:tc>
          <w:tcPr>
            <w:tcW w:type="dxa" w:w="1660"/>
          </w:tcPr>
          <w:p>
            <w:pPr>
              <w:jc w:val="center"/>
            </w:pPr>
            <w:r/>
            <w:r>
              <w:rPr>
                <w:rFonts w:ascii="宋体" w:hAnsi="宋体" w:eastAsia="宋体"/>
                <w:b w:val="0"/>
                <w:sz w:val="21"/>
              </w:rPr>
              <w:t>平安产险</w:t>
            </w:r>
          </w:p>
        </w:tc>
        <w:tc>
          <w:tcPr>
            <w:tcW w:type="dxa" w:w="1660"/>
          </w:tcPr>
          <w:p>
            <w:pPr>
              <w:jc w:val="center"/>
            </w:pPr>
            <w:r/>
            <w:r>
              <w:rPr>
                <w:rFonts w:ascii="宋体" w:hAnsi="宋体" w:eastAsia="宋体"/>
                <w:b w:val="0"/>
                <w:sz w:val="21"/>
              </w:rPr>
              <w:t>1,520</w:t>
            </w:r>
          </w:p>
        </w:tc>
        <w:tc>
          <w:tcPr>
            <w:tcW w:type="dxa" w:w="1660"/>
          </w:tcPr>
          <w:p>
            <w:pPr>
              <w:jc w:val="center"/>
            </w:pPr>
            <w:r/>
            <w:r>
              <w:rPr>
                <w:rFonts w:ascii="宋体" w:hAnsi="宋体" w:eastAsia="宋体"/>
                <w:b w:val="0"/>
                <w:sz w:val="21"/>
              </w:rPr>
              <w:t>6.3%</w:t>
            </w:r>
          </w:p>
        </w:tc>
        <w:tc>
          <w:tcPr>
            <w:tcW w:type="dxa" w:w="1660"/>
          </w:tcPr>
          <w:p>
            <w:pPr>
              <w:jc w:val="center"/>
            </w:pPr>
            <w:r/>
            <w:r>
              <w:rPr>
                <w:rFonts w:ascii="宋体" w:hAnsi="宋体" w:eastAsia="宋体"/>
                <w:b w:val="0"/>
                <w:sz w:val="21"/>
              </w:rPr>
              <w:t>7.0%</w:t>
            </w:r>
          </w:p>
        </w:tc>
      </w:tr>
      <w:tr>
        <w:tc>
          <w:tcPr>
            <w:tcW w:type="dxa" w:w="1660"/>
          </w:tcPr>
          <w:p>
            <w:pPr>
              <w:jc w:val="center"/>
            </w:pPr>
            <w:r/>
            <w:r>
              <w:rPr>
                <w:rFonts w:ascii="宋体" w:hAnsi="宋体" w:eastAsia="宋体"/>
                <w:b w:val="0"/>
                <w:sz w:val="21"/>
              </w:rPr>
              <w:t>8</w:t>
            </w:r>
          </w:p>
        </w:tc>
        <w:tc>
          <w:tcPr>
            <w:tcW w:type="dxa" w:w="1660"/>
          </w:tcPr>
          <w:p>
            <w:pPr>
              <w:jc w:val="center"/>
            </w:pPr>
            <w:r/>
            <w:r>
              <w:rPr>
                <w:rFonts w:ascii="宋体" w:hAnsi="宋体" w:eastAsia="宋体"/>
                <w:b w:val="0"/>
                <w:sz w:val="21"/>
              </w:rPr>
              <w:t>太保产险</w:t>
            </w:r>
          </w:p>
        </w:tc>
        <w:tc>
          <w:tcPr>
            <w:tcW w:type="dxa" w:w="1660"/>
          </w:tcPr>
          <w:p>
            <w:pPr>
              <w:jc w:val="center"/>
            </w:pPr>
            <w:r/>
            <w:r>
              <w:rPr>
                <w:rFonts w:ascii="宋体" w:hAnsi="宋体" w:eastAsia="宋体"/>
                <w:b w:val="0"/>
                <w:sz w:val="21"/>
              </w:rPr>
              <w:t>920</w:t>
            </w:r>
          </w:p>
        </w:tc>
        <w:tc>
          <w:tcPr>
            <w:tcW w:type="dxa" w:w="1660"/>
          </w:tcPr>
          <w:p>
            <w:pPr>
              <w:jc w:val="center"/>
            </w:pPr>
            <w:r/>
            <w:r>
              <w:rPr>
                <w:rFonts w:ascii="宋体" w:hAnsi="宋体" w:eastAsia="宋体"/>
                <w:b w:val="0"/>
                <w:sz w:val="21"/>
              </w:rPr>
              <w:t>5.8%</w:t>
            </w:r>
          </w:p>
        </w:tc>
        <w:tc>
          <w:tcPr>
            <w:tcW w:type="dxa" w:w="1660"/>
          </w:tcPr>
          <w:p>
            <w:pPr>
              <w:jc w:val="center"/>
            </w:pPr>
            <w:r/>
            <w:r>
              <w:rPr>
                <w:rFonts w:ascii="宋体" w:hAnsi="宋体" w:eastAsia="宋体"/>
                <w:b w:val="0"/>
                <w:sz w:val="21"/>
              </w:rPr>
              <w:t>4.2%</w:t>
            </w:r>
          </w:p>
        </w:tc>
      </w:tr>
    </w:tbl>
    <w:p>
      <w:pPr>
        <w:spacing w:after="80"/>
      </w:pPr>
    </w:p>
    <w:p>
      <w:pPr>
        <w:spacing w:before="120" w:after="40" w:line="360" w:lineRule="auto"/>
      </w:pPr>
      <w:r>
        <w:rPr>
          <w:rFonts w:ascii="宋体" w:hAnsi="宋体" w:eastAsia="宋体"/>
          <w:b/>
          <w:sz w:val="22"/>
        </w:rPr>
        <w:t>竞争态势</w:t>
      </w:r>
    </w:p>
    <w:p>
      <w:pPr>
        <w:pStyle w:val="ListBullet"/>
        <w:spacing w:line="360" w:lineRule="auto" w:after="40"/>
      </w:pPr>
      <w:r/>
      <w:r>
        <w:rPr>
          <w:rFonts w:ascii="宋体" w:hAnsi="宋体" w:eastAsia="宋体"/>
          <w:b w:val="0"/>
          <w:sz w:val="22"/>
        </w:rPr>
        <w:t>头部险企凭借品牌和渠道优势维持领先地位</w:t>
      </w:r>
    </w:p>
    <w:p>
      <w:pPr>
        <w:pStyle w:val="ListBullet"/>
        <w:spacing w:line="360" w:lineRule="auto" w:after="40"/>
      </w:pPr>
      <w:r/>
      <w:r>
        <w:rPr>
          <w:rFonts w:ascii="宋体" w:hAnsi="宋体" w:eastAsia="宋体"/>
          <w:b w:val="0"/>
          <w:sz w:val="22"/>
        </w:rPr>
        <w:t>中部险企通过差异化经营实现突围，特色化经营成为关键</w:t>
      </w:r>
    </w:p>
    <w:p>
      <w:pPr>
        <w:pStyle w:val="ListBullet"/>
        <w:spacing w:line="360" w:lineRule="auto" w:after="40"/>
      </w:pPr>
      <w:r/>
      <w:r>
        <w:rPr>
          <w:rFonts w:ascii="宋体" w:hAnsi="宋体" w:eastAsia="宋体"/>
          <w:b w:val="0"/>
          <w:sz w:val="22"/>
        </w:rPr>
        <w:t>部分小型险企面临经营压力，行业整合预期升温</w:t>
      </w:r>
    </w:p>
    <w:p>
      <w:pPr>
        <w:spacing w:before="120" w:after="40" w:line="360" w:lineRule="auto"/>
      </w:pPr>
      <w:r>
        <w:rPr>
          <w:rFonts w:ascii="宋体" w:hAnsi="宋体" w:eastAsia="宋体"/>
          <w:b/>
          <w:sz w:val="22"/>
        </w:rPr>
        <w:t>并购动态</w:t>
      </w:r>
    </w:p>
    <w:p>
      <w:pPr>
        <w:pStyle w:val="ListBullet"/>
        <w:spacing w:line="360" w:lineRule="auto" w:after="40"/>
      </w:pPr>
      <w:r/>
      <w:r>
        <w:rPr>
          <w:rFonts w:ascii="宋体" w:hAnsi="宋体" w:eastAsia="宋体"/>
          <w:b w:val="0"/>
          <w:sz w:val="22"/>
        </w:rPr>
        <w:t>二季度发生2起重大并购事件，涉及金额超过50亿元</w:t>
      </w:r>
    </w:p>
    <w:p>
      <w:pPr>
        <w:pStyle w:val="ListBullet"/>
        <w:spacing w:line="360" w:lineRule="auto" w:after="40"/>
      </w:pPr>
      <w:r/>
      <w:r>
        <w:rPr>
          <w:rFonts w:ascii="宋体" w:hAnsi="宋体" w:eastAsia="宋体"/>
          <w:b w:val="0"/>
          <w:sz w:val="22"/>
        </w:rPr>
        <w:t>跨业合作增多，保险与医疗、养老、科技企业深度协同</w:t>
      </w:r>
    </w:p>
    <w:p>
      <w:pPr>
        <w:pStyle w:val="ListBullet"/>
        <w:spacing w:line="360" w:lineRule="auto" w:after="40"/>
      </w:pPr>
      <w:r/>
      <w:r>
        <w:rPr>
          <w:rFonts w:ascii="宋体" w:hAnsi="宋体" w:eastAsia="宋体"/>
          <w:b w:val="0"/>
          <w:sz w:val="22"/>
        </w:rPr>
        <w:t>外资险企加大中国市场投入，新增3家外资独资机构</w:t>
      </w:r>
    </w:p>
    <w:p>
      <w:r>
        <w:br w:type="page"/>
      </w:r>
    </w:p>
    <w:p>
      <w:pPr>
        <w:pStyle w:val="Heading1"/>
      </w:pPr>
      <w:r>
        <w:rPr>
          <w:rFonts w:ascii="黑体" w:hAnsi="黑体" w:eastAsia="黑体"/>
          <w:b/>
          <w:sz w:val="36"/>
        </w:rPr>
        <w:t>第八章  趋势展望与策略建议</w:t>
      </w:r>
    </w:p>
    <w:p>
      <w:pPr>
        <w:spacing w:line="360" w:lineRule="auto" w:after="80"/>
        <w:ind w:firstLine="442"/>
      </w:pPr>
      <w:r>
        <w:rPr>
          <w:rFonts w:ascii="宋体" w:hAnsi="宋体" w:eastAsia="宋体"/>
          <w:b w:val="0"/>
          <w:sz w:val="22"/>
        </w:rPr>
        <w:t>展望2026年下半年，保险行业有望延续平稳发展态势，同时面临多重机遇与挑战。本报告基于季度调研数据，提出以下趋势研判与策略建议。</w:t>
      </w:r>
    </w:p>
    <w:p>
      <w:pPr>
        <w:spacing w:before="120" w:after="40" w:line="360" w:lineRule="auto"/>
      </w:pPr>
      <w:r>
        <w:rPr>
          <w:rFonts w:ascii="宋体" w:hAnsi="宋体" w:eastAsia="宋体"/>
          <w:b/>
          <w:sz w:val="22"/>
        </w:rPr>
        <w:t>行业趋势展望</w:t>
      </w:r>
    </w:p>
    <w:p>
      <w:pPr>
        <w:pStyle w:val="ListBullet"/>
        <w:spacing w:line="360" w:lineRule="auto" w:after="40"/>
      </w:pPr>
      <w:r/>
      <w:r>
        <w:rPr>
          <w:rFonts w:ascii="宋体" w:hAnsi="宋体" w:eastAsia="宋体"/>
          <w:b w:val="0"/>
          <w:sz w:val="22"/>
        </w:rPr>
        <w:t>保费增速预计维持在5%-7%区间，结构持续优化</w:t>
      </w:r>
    </w:p>
    <w:p>
      <w:pPr>
        <w:pStyle w:val="ListBullet"/>
        <w:spacing w:line="360" w:lineRule="auto" w:after="40"/>
      </w:pPr>
      <w:r/>
      <w:r>
        <w:rPr>
          <w:rFonts w:ascii="宋体" w:hAnsi="宋体" w:eastAsia="宋体"/>
          <w:b w:val="0"/>
          <w:sz w:val="22"/>
        </w:rPr>
        <w:t>利率环境短期内难以根本扭转，资产负债管理仍是核心课题</w:t>
      </w:r>
    </w:p>
    <w:p>
      <w:pPr>
        <w:pStyle w:val="ListBullet"/>
        <w:spacing w:line="360" w:lineRule="auto" w:after="40"/>
      </w:pPr>
      <w:r/>
      <w:r>
        <w:rPr>
          <w:rFonts w:ascii="宋体" w:hAnsi="宋体" w:eastAsia="宋体"/>
          <w:b w:val="0"/>
          <w:sz w:val="22"/>
        </w:rPr>
        <w:t>数字化转型进入收获期，科技投入产出比提升</w:t>
      </w:r>
    </w:p>
    <w:p>
      <w:pPr>
        <w:pStyle w:val="ListBullet"/>
        <w:spacing w:line="360" w:lineRule="auto" w:after="40"/>
      </w:pPr>
      <w:r/>
      <w:r>
        <w:rPr>
          <w:rFonts w:ascii="宋体" w:hAnsi="宋体" w:eastAsia="宋体"/>
          <w:b w:val="0"/>
          <w:sz w:val="22"/>
        </w:rPr>
        <w:t>养老保险市场扩容加速，第三支柱发展空间广阔</w:t>
      </w:r>
    </w:p>
    <w:p>
      <w:pPr>
        <w:pStyle w:val="ListBullet"/>
        <w:spacing w:line="360" w:lineRule="auto" w:after="40"/>
      </w:pPr>
      <w:r/>
      <w:r>
        <w:rPr>
          <w:rFonts w:ascii="宋体" w:hAnsi="宋体" w:eastAsia="宋体"/>
          <w:b w:val="0"/>
          <w:sz w:val="22"/>
        </w:rPr>
        <w:t>绿色保险与可持续发展相关产品迎来政策窗口期</w:t>
      </w:r>
    </w:p>
    <w:p>
      <w:pPr>
        <w:spacing w:before="120" w:after="40" w:line="360" w:lineRule="auto"/>
      </w:pPr>
      <w:r>
        <w:rPr>
          <w:rFonts w:ascii="宋体" w:hAnsi="宋体" w:eastAsia="宋体"/>
          <w:b/>
          <w:sz w:val="22"/>
        </w:rPr>
        <w:t>策略建议</w:t>
      </w:r>
    </w:p>
    <w:p>
      <w:pPr>
        <w:pStyle w:val="ListBullet"/>
        <w:spacing w:line="360" w:lineRule="auto" w:after="40"/>
      </w:pPr>
      <w:r/>
      <w:r>
        <w:rPr>
          <w:rFonts w:ascii="宋体" w:hAnsi="宋体" w:eastAsia="宋体"/>
          <w:b w:val="0"/>
          <w:sz w:val="22"/>
        </w:rPr>
        <w:t>优化产品结构：降低对高定价利率产品的依赖，发展分红险和万能险</w:t>
      </w:r>
    </w:p>
    <w:p>
      <w:pPr>
        <w:pStyle w:val="ListBullet"/>
        <w:spacing w:line="360" w:lineRule="auto" w:after="40"/>
      </w:pPr>
      <w:r/>
      <w:r>
        <w:rPr>
          <w:rFonts w:ascii="宋体" w:hAnsi="宋体" w:eastAsia="宋体"/>
          <w:b w:val="0"/>
          <w:sz w:val="22"/>
        </w:rPr>
        <w:t>深化渠道转型：推进代理人队伍专业化、银保渠道价值化、线上渠道规模化</w:t>
      </w:r>
    </w:p>
    <w:p>
      <w:pPr>
        <w:pStyle w:val="ListBullet"/>
        <w:spacing w:line="360" w:lineRule="auto" w:after="40"/>
      </w:pPr>
      <w:r/>
      <w:r>
        <w:rPr>
          <w:rFonts w:ascii="宋体" w:hAnsi="宋体" w:eastAsia="宋体"/>
          <w:b w:val="0"/>
          <w:sz w:val="22"/>
        </w:rPr>
        <w:t>强化风险管理：完善资产负债管理体系，提升极端情景应对能力</w:t>
      </w:r>
    </w:p>
    <w:p>
      <w:pPr>
        <w:pStyle w:val="ListBullet"/>
        <w:spacing w:line="360" w:lineRule="auto" w:after="40"/>
      </w:pPr>
      <w:r/>
      <w:r>
        <w:rPr>
          <w:rFonts w:ascii="宋体" w:hAnsi="宋体" w:eastAsia="宋体"/>
          <w:b w:val="0"/>
          <w:sz w:val="22"/>
        </w:rPr>
        <w:t>加大科技投入：聚焦AI、大数据在核保、理赔、客服等核心环节的深度应用</w:t>
      </w:r>
    </w:p>
    <w:p>
      <w:pPr>
        <w:pStyle w:val="ListBullet"/>
        <w:spacing w:line="360" w:lineRule="auto" w:after="40"/>
      </w:pPr>
      <w:r/>
      <w:r>
        <w:rPr>
          <w:rFonts w:ascii="宋体" w:hAnsi="宋体" w:eastAsia="宋体"/>
          <w:b w:val="0"/>
          <w:sz w:val="22"/>
        </w:rPr>
        <w:t>拓展生态合作：与医疗、养老、健康管理等领域构建服务生态</w:t>
      </w:r>
    </w:p>
    <w:p>
      <w:pPr>
        <w:spacing w:before="120" w:after="40" w:line="360" w:lineRule="auto"/>
      </w:pPr>
      <w:r>
        <w:rPr>
          <w:rFonts w:ascii="宋体" w:hAnsi="宋体" w:eastAsia="宋体"/>
          <w:b/>
          <w:sz w:val="22"/>
        </w:rPr>
        <w:t>风险提示</w:t>
      </w:r>
    </w:p>
    <w:p>
      <w:pPr>
        <w:pStyle w:val="ListBullet"/>
        <w:spacing w:line="360" w:lineRule="auto" w:after="40"/>
      </w:pPr>
      <w:r/>
      <w:r>
        <w:rPr>
          <w:rFonts w:ascii="宋体" w:hAnsi="宋体" w:eastAsia="宋体"/>
          <w:b w:val="0"/>
          <w:sz w:val="22"/>
        </w:rPr>
        <w:t>利率持续下行可能导致利差损风险加剧</w:t>
      </w:r>
    </w:p>
    <w:p>
      <w:pPr>
        <w:pStyle w:val="ListBullet"/>
        <w:spacing w:line="360" w:lineRule="auto" w:after="40"/>
      </w:pPr>
      <w:r/>
      <w:r>
        <w:rPr>
          <w:rFonts w:ascii="宋体" w:hAnsi="宋体" w:eastAsia="宋体"/>
          <w:b w:val="0"/>
          <w:sz w:val="22"/>
        </w:rPr>
        <w:t>权益市场波动对投资端收益形成压力</w:t>
      </w:r>
    </w:p>
    <w:p>
      <w:pPr>
        <w:pStyle w:val="ListBullet"/>
        <w:spacing w:line="360" w:lineRule="auto" w:after="40"/>
      </w:pPr>
      <w:r/>
      <w:r>
        <w:rPr>
          <w:rFonts w:ascii="宋体" w:hAnsi="宋体" w:eastAsia="宋体"/>
          <w:b w:val="0"/>
          <w:sz w:val="22"/>
        </w:rPr>
        <w:t>极端天气事件频发对巨灾保险体系带来考验</w:t>
      </w:r>
    </w:p>
    <w:p>
      <w:pPr>
        <w:pStyle w:val="ListBullet"/>
        <w:spacing w:line="360" w:lineRule="auto" w:after="40"/>
      </w:pPr>
      <w:r/>
      <w:r>
        <w:rPr>
          <w:rFonts w:ascii="宋体" w:hAnsi="宋体" w:eastAsia="宋体"/>
          <w:b w:val="0"/>
          <w:sz w:val="22"/>
        </w:rPr>
        <w:t>监管政策调整可能影响部分业务模式</w:t>
      </w:r>
    </w:p>
    <w:p>
      <w:pPr>
        <w:spacing w:line="360" w:lineRule="auto" w:after="80"/>
        <w:ind w:firstLine="442"/>
      </w:pPr>
      <w:r>
        <w:rPr>
          <w:rFonts w:ascii="宋体" w:hAnsi="宋体" w:eastAsia="宋体"/>
          <w:b w:val="0"/>
          <w:sz w:val="22"/>
        </w:rPr>
        <w:t>综上所述，2026年第二季度中国保险行业总体保持稳健运行。在宏观经济温和复苏、政策环境持续优化的背景下，行业正经历从规模扩张向质量提升的深刻转型。险企需要把握数字化转型、养老保险扩容、绿色保险发展等结构性机遇，同时做好利率风险、市场风险和操作风险的防范，实现高质量发展。</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outlineLvl w:val="0"/>
    </w:pPr>
    <w:rPr>
      <w:rFonts w:asciiTheme="majorHAnsi" w:eastAsiaTheme="majorEastAsia" w:hAnsiTheme="majorHAnsi" w:cstheme="majorBidi" w:ascii="黑体" w:hAnsi="黑体" w:eastAsia="黑体"/>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黑体" w:hAnsi="黑体" w:eastAsia="黑体"/>
      <w:b/>
      <w:bCs/>
      <w:color w:val="2E5C8A"/>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黑体" w:hAnsi="黑体" w:eastAsia="黑体"/>
      <w:b/>
      <w:bCs/>
      <w:color w:val="44444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