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D26DD" w14:textId="77777777" w:rsidR="00F459DC" w:rsidRDefault="00F459DC">
      <w:pPr>
        <w:spacing w:before="2400"/>
        <w:jc w:val="center"/>
      </w:pPr>
    </w:p>
    <w:p w14:paraId="2BD8EFC9" w14:textId="77777777" w:rsidR="00F459DC" w:rsidRDefault="00DE6982">
      <w:pPr>
        <w:spacing w:after="160"/>
        <w:jc w:val="center"/>
      </w:pPr>
      <w:r>
        <w:rPr>
          <w:rFonts w:ascii="SimHei" w:eastAsia="SimHei" w:hAnsi="SimHei"/>
          <w:b/>
          <w:color w:val="1F3864"/>
          <w:sz w:val="52"/>
        </w:rPr>
        <w:t>2026</w:t>
      </w:r>
      <w:r>
        <w:rPr>
          <w:rFonts w:ascii="SimHei" w:eastAsia="SimHei" w:hAnsi="SimHei"/>
          <w:b/>
          <w:color w:val="1F3864"/>
          <w:sz w:val="52"/>
        </w:rPr>
        <w:t>年第三季度</w:t>
      </w:r>
    </w:p>
    <w:p w14:paraId="3C73C378" w14:textId="77777777" w:rsidR="00F459DC" w:rsidRDefault="00DE6982">
      <w:pPr>
        <w:spacing w:after="720"/>
        <w:jc w:val="center"/>
      </w:pPr>
      <w:r>
        <w:rPr>
          <w:rFonts w:ascii="SimHei" w:eastAsia="SimHei" w:hAnsi="SimHei"/>
          <w:b/>
          <w:color w:val="1F3864"/>
          <w:sz w:val="52"/>
        </w:rPr>
        <w:t>中国保险行业调研报告</w:t>
      </w:r>
    </w:p>
    <w:p w14:paraId="401E9714" w14:textId="77777777" w:rsidR="00F459DC" w:rsidRDefault="00DE6982">
      <w:pPr>
        <w:spacing w:after="3600"/>
        <w:jc w:val="center"/>
      </w:pPr>
      <w:r>
        <w:rPr>
          <w:color w:val="666666"/>
        </w:rPr>
        <w:t>市场环境</w:t>
      </w:r>
      <w:r>
        <w:rPr>
          <w:color w:val="666666"/>
        </w:rPr>
        <w:t xml:space="preserve"> · </w:t>
      </w:r>
      <w:r>
        <w:rPr>
          <w:color w:val="666666"/>
        </w:rPr>
        <w:t>保费增长</w:t>
      </w:r>
      <w:r>
        <w:rPr>
          <w:color w:val="666666"/>
        </w:rPr>
        <w:t xml:space="preserve"> · </w:t>
      </w:r>
      <w:r>
        <w:rPr>
          <w:color w:val="666666"/>
        </w:rPr>
        <w:t>渠道变革</w:t>
      </w:r>
      <w:r>
        <w:rPr>
          <w:color w:val="666666"/>
        </w:rPr>
        <w:t xml:space="preserve"> · </w:t>
      </w:r>
      <w:r>
        <w:rPr>
          <w:color w:val="666666"/>
        </w:rPr>
        <w:t>趋势展望</w:t>
      </w:r>
    </w:p>
    <w:p w14:paraId="7096B4DA" w14:textId="77777777" w:rsidR="00F459DC" w:rsidRDefault="00DE6982">
      <w:pPr>
        <w:spacing w:after="120"/>
        <w:jc w:val="center"/>
      </w:pPr>
      <w:r>
        <w:t>保险行业研究中心</w:t>
      </w:r>
    </w:p>
    <w:p w14:paraId="60A5002F" w14:textId="77777777" w:rsidR="00F459DC" w:rsidRDefault="00DE6982">
      <w:pPr>
        <w:spacing w:after="240"/>
        <w:jc w:val="center"/>
      </w:pPr>
      <w:r>
        <w:t>2026</w:t>
      </w:r>
      <w:r>
        <w:t>年</w:t>
      </w:r>
      <w:r>
        <w:t>10</w:t>
      </w:r>
      <w:r>
        <w:t>月</w:t>
      </w:r>
    </w:p>
    <w:p w14:paraId="350507FB" w14:textId="77777777" w:rsidR="00F459DC" w:rsidRDefault="00DE6982">
      <w:r>
        <w:br w:type="page"/>
      </w:r>
    </w:p>
    <w:p w14:paraId="1D0FFA28" w14:textId="77777777" w:rsidR="00F459DC" w:rsidRDefault="00DE6982">
      <w:pPr>
        <w:spacing w:after="240"/>
        <w:jc w:val="center"/>
      </w:pPr>
      <w:r>
        <w:rPr>
          <w:rFonts w:ascii="SimHei" w:eastAsia="SimHei" w:hAnsi="SimHei"/>
          <w:b/>
          <w:color w:val="1F3864"/>
          <w:sz w:val="36"/>
        </w:rPr>
        <w:lastRenderedPageBreak/>
        <w:t>目</w:t>
      </w:r>
      <w:r>
        <w:rPr>
          <w:rFonts w:ascii="SimHei" w:eastAsia="SimHei" w:hAnsi="SimHei"/>
          <w:b/>
          <w:color w:val="1F3864"/>
          <w:sz w:val="36"/>
        </w:rPr>
        <w:t xml:space="preserve">  </w:t>
      </w:r>
      <w:r>
        <w:rPr>
          <w:rFonts w:ascii="SimHei" w:eastAsia="SimHei" w:hAnsi="SimHei"/>
          <w:b/>
          <w:color w:val="1F3864"/>
          <w:sz w:val="36"/>
        </w:rPr>
        <w:t>录</w:t>
      </w:r>
    </w:p>
    <w:p w14:paraId="6E0DD830" w14:textId="7523438B" w:rsidR="00255E40" w:rsidRDefault="00DE6982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6361335" w:history="1">
        <w:r w:rsidR="00255E40" w:rsidRPr="00D809C9">
          <w:rPr>
            <w:rStyle w:val="aff9"/>
            <w:rFonts w:ascii="SimHei" w:eastAsia="SimHei" w:hAnsi="SimHei"/>
            <w:noProof/>
          </w:rPr>
          <w:t>第一章  报告概述</w:t>
        </w:r>
        <w:r w:rsidR="00255E40">
          <w:rPr>
            <w:noProof/>
            <w:webHidden/>
          </w:rPr>
          <w:tab/>
        </w:r>
        <w:r w:rsidR="00255E40">
          <w:rPr>
            <w:noProof/>
            <w:webHidden/>
          </w:rPr>
          <w:fldChar w:fldCharType="begin"/>
        </w:r>
        <w:r w:rsidR="00255E40">
          <w:rPr>
            <w:noProof/>
            <w:webHidden/>
          </w:rPr>
          <w:instrText xml:space="preserve"> PAGEREF _Toc236361335 \h </w:instrText>
        </w:r>
        <w:r w:rsidR="00255E40">
          <w:rPr>
            <w:noProof/>
            <w:webHidden/>
          </w:rPr>
        </w:r>
        <w:r w:rsidR="00255E40">
          <w:rPr>
            <w:noProof/>
            <w:webHidden/>
          </w:rPr>
          <w:fldChar w:fldCharType="separate"/>
        </w:r>
        <w:r w:rsidR="00255E40">
          <w:rPr>
            <w:noProof/>
            <w:webHidden/>
          </w:rPr>
          <w:t>4</w:t>
        </w:r>
        <w:r w:rsidR="00255E40">
          <w:rPr>
            <w:noProof/>
            <w:webHidden/>
          </w:rPr>
          <w:fldChar w:fldCharType="end"/>
        </w:r>
      </w:hyperlink>
    </w:p>
    <w:p w14:paraId="242B9A6E" w14:textId="77FF5B91" w:rsidR="00255E40" w:rsidRDefault="00255E40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36" w:history="1">
        <w:r w:rsidRPr="00D809C9">
          <w:rPr>
            <w:rStyle w:val="aff9"/>
            <w:rFonts w:ascii="SimHei" w:eastAsia="SimHei" w:hAnsi="SimHei"/>
            <w:noProof/>
          </w:rPr>
          <w:t>2.1  经济政策环境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D04481" w14:textId="40B6B2D4" w:rsidR="00255E40" w:rsidRDefault="00255E40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37" w:history="1">
        <w:r w:rsidRPr="00D809C9">
          <w:rPr>
            <w:rStyle w:val="aff9"/>
            <w:rFonts w:ascii="SimHei" w:eastAsia="SimHei" w:hAnsi="SimHei"/>
            <w:noProof/>
          </w:rPr>
          <w:t>2.1.1  宏观经济运行情况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E0DAD6" w14:textId="181A7216" w:rsidR="00255E40" w:rsidRDefault="00255E40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38" w:history="1">
        <w:r w:rsidRPr="00D809C9">
          <w:rPr>
            <w:rStyle w:val="aff9"/>
            <w:rFonts w:ascii="SimHei" w:eastAsia="SimHei" w:hAnsi="SimHei"/>
            <w:noProof/>
          </w:rPr>
          <w:t>2.1.2  保险行业政策动态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3812A5" w14:textId="54A12521" w:rsidR="00255E40" w:rsidRDefault="00255E40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39" w:history="1">
        <w:r w:rsidRPr="00D809C9">
          <w:rPr>
            <w:rStyle w:val="aff9"/>
            <w:rFonts w:ascii="SimHei" w:eastAsia="SimHei" w:hAnsi="SimHei"/>
            <w:noProof/>
          </w:rPr>
          <w:t>2.2  利率与资金面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3001AE" w14:textId="1D7961B6" w:rsidR="00255E40" w:rsidRDefault="00255E40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40" w:history="1">
        <w:r w:rsidRPr="00D809C9">
          <w:rPr>
            <w:rStyle w:val="aff9"/>
            <w:rFonts w:ascii="SimHei" w:eastAsia="SimHei" w:hAnsi="SimHei"/>
            <w:noProof/>
          </w:rPr>
          <w:t>2.2.1  利率走势分析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BD63D3" w14:textId="0AF5EF73" w:rsidR="00255E40" w:rsidRDefault="00255E40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41" w:history="1">
        <w:r w:rsidRPr="00D809C9">
          <w:rPr>
            <w:rStyle w:val="aff9"/>
            <w:rFonts w:ascii="SimHei" w:eastAsia="SimHei" w:hAnsi="SimHei"/>
            <w:noProof/>
          </w:rPr>
          <w:t>2.3  区域市场发展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AB79E8" w14:textId="65469A69" w:rsidR="00255E40" w:rsidRDefault="00255E40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42" w:history="1">
        <w:r w:rsidRPr="00D809C9">
          <w:rPr>
            <w:rStyle w:val="aff9"/>
            <w:rFonts w:ascii="SimHei" w:eastAsia="SimHei" w:hAnsi="SimHei"/>
            <w:noProof/>
          </w:rPr>
          <w:t>2.3.1  区域保费分布特征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70949E" w14:textId="4079D630" w:rsidR="00255E40" w:rsidRDefault="00255E40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43" w:history="1">
        <w:r w:rsidRPr="00D809C9">
          <w:rPr>
            <w:rStyle w:val="aff9"/>
            <w:rFonts w:ascii="SimHei" w:eastAsia="SimHei" w:hAnsi="SimHei"/>
            <w:noProof/>
          </w:rPr>
          <w:t>3.1  整体保费规模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025B5A" w14:textId="2818956C" w:rsidR="00255E40" w:rsidRDefault="00255E40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44" w:history="1">
        <w:r w:rsidRPr="00D809C9">
          <w:rPr>
            <w:rStyle w:val="aff9"/>
            <w:rFonts w:ascii="SimHei" w:eastAsia="SimHei" w:hAnsi="SimHei"/>
            <w:noProof/>
          </w:rPr>
          <w:t>3.1.1  原保险保费收入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773907" w14:textId="0F17D9E6" w:rsidR="00255E40" w:rsidRDefault="00255E40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45" w:history="1">
        <w:r w:rsidRPr="00D809C9">
          <w:rPr>
            <w:rStyle w:val="aff9"/>
            <w:rFonts w:ascii="SimHei" w:eastAsia="SimHei" w:hAnsi="SimHei"/>
            <w:noProof/>
          </w:rPr>
          <w:t>3.1.2  赔付支出情况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D39744" w14:textId="57CEA116" w:rsidR="00255E40" w:rsidRDefault="00255E40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46" w:history="1">
        <w:r w:rsidRPr="00D809C9">
          <w:rPr>
            <w:rStyle w:val="aff9"/>
            <w:rFonts w:ascii="SimHei" w:eastAsia="SimHei" w:hAnsi="SimHei"/>
            <w:noProof/>
          </w:rPr>
          <w:t>3.2  分险种保费结构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5EB762" w14:textId="7322F13A" w:rsidR="00255E40" w:rsidRDefault="00255E40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47" w:history="1">
        <w:r w:rsidRPr="00D809C9">
          <w:rPr>
            <w:rStyle w:val="aff9"/>
            <w:rFonts w:ascii="SimHei" w:eastAsia="SimHei" w:hAnsi="SimHei"/>
            <w:noProof/>
          </w:rPr>
          <w:t>3.2.1  财产险保费分析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AE26D5" w14:textId="2C7DEB09" w:rsidR="00255E40" w:rsidRDefault="00255E40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48" w:history="1">
        <w:r w:rsidRPr="00D809C9">
          <w:rPr>
            <w:rStyle w:val="aff9"/>
            <w:rFonts w:ascii="SimHei" w:eastAsia="SimHei" w:hAnsi="SimHei"/>
            <w:noProof/>
          </w:rPr>
          <w:t>3.3  中小险企市场份额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149983" w14:textId="4461B6C4" w:rsidR="00255E40" w:rsidRDefault="00255E40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49" w:history="1">
        <w:r w:rsidRPr="00D809C9">
          <w:rPr>
            <w:rStyle w:val="aff9"/>
            <w:rFonts w:ascii="SimHei" w:eastAsia="SimHei" w:hAnsi="SimHei"/>
            <w:noProof/>
          </w:rPr>
          <w:t>4.1  传统保险产品创新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B521226" w14:textId="5E413806" w:rsidR="00255E40" w:rsidRDefault="00255E40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50" w:history="1">
        <w:r w:rsidRPr="00D809C9">
          <w:rPr>
            <w:rStyle w:val="aff9"/>
            <w:rFonts w:ascii="SimHei" w:eastAsia="SimHei" w:hAnsi="SimHei"/>
            <w:noProof/>
          </w:rPr>
          <w:t>4.2  新兴保险产品发展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8F3AA9" w14:textId="6E0A1095" w:rsidR="00255E40" w:rsidRDefault="00255E40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51" w:history="1">
        <w:r w:rsidRPr="00D809C9">
          <w:rPr>
            <w:rStyle w:val="aff9"/>
            <w:rFonts w:ascii="SimHei" w:eastAsia="SimHei" w:hAnsi="SimHei"/>
            <w:noProof/>
          </w:rPr>
          <w:t>4.3  产品定价策略变化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CA2CCE" w14:textId="778574FD" w:rsidR="00255E40" w:rsidRDefault="00255E40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52" w:history="1">
        <w:r w:rsidRPr="00D809C9">
          <w:rPr>
            <w:rStyle w:val="aff9"/>
            <w:rFonts w:ascii="SimHei" w:eastAsia="SimHei" w:hAnsi="SimHei"/>
            <w:noProof/>
          </w:rPr>
          <w:t>4.4  再保险市场动态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259248" w14:textId="7268465B" w:rsidR="00255E40" w:rsidRDefault="00255E40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53" w:history="1">
        <w:r w:rsidRPr="00D809C9">
          <w:rPr>
            <w:rStyle w:val="aff9"/>
            <w:rFonts w:ascii="SimHei" w:eastAsia="SimHei" w:hAnsi="SimHei"/>
            <w:noProof/>
          </w:rPr>
          <w:t>5.1  线下渠道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69BDE1" w14:textId="6FA8BE7F" w:rsidR="00255E40" w:rsidRDefault="00255E40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54" w:history="1">
        <w:r w:rsidRPr="00D809C9">
          <w:rPr>
            <w:rStyle w:val="aff9"/>
            <w:rFonts w:ascii="SimHei" w:eastAsia="SimHei" w:hAnsi="SimHei"/>
            <w:noProof/>
          </w:rPr>
          <w:t>5.1.1  个险渠道分析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A645E4" w14:textId="39200C62" w:rsidR="00255E40" w:rsidRDefault="00255E40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55" w:history="1">
        <w:r w:rsidRPr="00D809C9">
          <w:rPr>
            <w:rStyle w:val="aff9"/>
            <w:rFonts w:ascii="SimHei" w:eastAsia="SimHei" w:hAnsi="SimHei"/>
            <w:noProof/>
          </w:rPr>
          <w:t>5.1.2  银保渠道分析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D41E10" w14:textId="026886FE" w:rsidR="00255E40" w:rsidRDefault="00255E40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56" w:history="1">
        <w:r w:rsidRPr="00D809C9">
          <w:rPr>
            <w:rStyle w:val="aff9"/>
            <w:rFonts w:ascii="SimHei" w:eastAsia="SimHei" w:hAnsi="SimHei"/>
            <w:noProof/>
          </w:rPr>
          <w:t>5.2  线上渠道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692044F" w14:textId="0EF5FFA4" w:rsidR="00255E40" w:rsidRDefault="00255E40">
      <w:pPr>
        <w:pStyle w:val="TOC3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57" w:history="1">
        <w:r w:rsidRPr="00D809C9">
          <w:rPr>
            <w:rStyle w:val="aff9"/>
            <w:rFonts w:ascii="SimHei" w:eastAsia="SimHei" w:hAnsi="SimHei"/>
            <w:noProof/>
          </w:rPr>
          <w:t>5.2.1  互联网保险平台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BC22E4" w14:textId="21128427" w:rsidR="00255E40" w:rsidRDefault="00255E40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58" w:history="1">
        <w:r w:rsidRPr="00D809C9">
          <w:rPr>
            <w:rStyle w:val="aff9"/>
            <w:rFonts w:ascii="SimHei" w:eastAsia="SimHei" w:hAnsi="SimHei"/>
            <w:noProof/>
          </w:rPr>
          <w:t>6.1  风险评估体系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E9356A7" w14:textId="51FD1D8B" w:rsidR="00255E40" w:rsidRDefault="00255E40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59" w:history="1">
        <w:r w:rsidRPr="00D809C9">
          <w:rPr>
            <w:rStyle w:val="aff9"/>
            <w:rFonts w:ascii="SimHei" w:eastAsia="SimHei" w:hAnsi="SimHei"/>
            <w:noProof/>
          </w:rPr>
          <w:t>6.2  理赔服务效率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57005A1" w14:textId="5634FC96" w:rsidR="00255E40" w:rsidRDefault="00255E40">
      <w:pPr>
        <w:pStyle w:val="TOC2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60" w:history="1">
        <w:r w:rsidRPr="00D809C9">
          <w:rPr>
            <w:rStyle w:val="aff9"/>
            <w:rFonts w:ascii="SimHei" w:eastAsia="SimHei" w:hAnsi="SimHei"/>
            <w:noProof/>
          </w:rPr>
          <w:t>6.3  反欺诈技术应用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594DDD6" w14:textId="0A03CC6A" w:rsidR="00255E40" w:rsidRDefault="00255E40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61" w:history="1">
        <w:r w:rsidRPr="00D809C9">
          <w:rPr>
            <w:rStyle w:val="aff9"/>
            <w:rFonts w:ascii="SimHei" w:eastAsia="SimHei" w:hAnsi="SimHei"/>
            <w:noProof/>
          </w:rPr>
          <w:t>第七章  行业竞争格局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B0F273F" w14:textId="0F27BACB" w:rsidR="00255E40" w:rsidRDefault="00255E40">
      <w:pPr>
        <w:pStyle w:val="TOC1"/>
        <w:tabs>
          <w:tab w:val="right" w:leader="dot" w:pos="8290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zh-CN"/>
          <w14:ligatures w14:val="standardContextual"/>
        </w:rPr>
      </w:pPr>
      <w:hyperlink w:anchor="_Toc236361362" w:history="1">
        <w:r w:rsidRPr="00D809C9">
          <w:rPr>
            <w:rStyle w:val="aff9"/>
            <w:rFonts w:ascii="SimHei" w:eastAsia="SimHei" w:hAnsi="SimHei"/>
            <w:noProof/>
          </w:rPr>
          <w:t>第八章  趋势展望与策略建议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_Toc236361362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8FC9F6F" w14:textId="5F6160D2" w:rsidR="00F459DC" w:rsidRDefault="00DE6982">
      <w:r>
        <w:fldChar w:fldCharType="end"/>
      </w:r>
    </w:p>
    <w:p w14:paraId="5E7D2310" w14:textId="77777777" w:rsidR="00F459DC" w:rsidRDefault="00DE6982">
      <w:r>
        <w:br w:type="page"/>
      </w:r>
    </w:p>
    <w:p w14:paraId="01B7106E" w14:textId="77777777" w:rsidR="00F459DC" w:rsidRDefault="00DE6982">
      <w:pPr>
        <w:pStyle w:val="1"/>
        <w:spacing w:before="360" w:after="120"/>
      </w:pPr>
      <w:bookmarkStart w:id="0" w:name="_Toc236361335"/>
      <w:r>
        <w:rPr>
          <w:rFonts w:ascii="SimHei" w:eastAsia="SimHei" w:hAnsi="SimHei"/>
        </w:rPr>
        <w:lastRenderedPageBreak/>
        <w:t>第一章</w:t>
      </w:r>
      <w:r>
        <w:rPr>
          <w:rFonts w:ascii="SimHei" w:eastAsia="SimHei" w:hAnsi="SimHei"/>
        </w:rPr>
        <w:t xml:space="preserve">  </w:t>
      </w:r>
      <w:r>
        <w:rPr>
          <w:rFonts w:ascii="SimHei" w:eastAsia="SimHei" w:hAnsi="SimHei"/>
        </w:rPr>
        <w:t>报告概述</w:t>
      </w:r>
      <w:bookmarkEnd w:id="0"/>
    </w:p>
    <w:p w14:paraId="66FE09DA" w14:textId="77777777" w:rsidR="00F459DC" w:rsidRDefault="00DE6982">
      <w:pPr>
        <w:spacing w:after="80" w:line="360" w:lineRule="auto"/>
        <w:ind w:firstLineChars="200" w:firstLine="560"/>
      </w:pPr>
      <w:r>
        <w:rPr>
          <w:color w:val="F79646"/>
        </w:rPr>
        <w:t>本期报告聚焦</w:t>
      </w:r>
      <w:r>
        <w:rPr>
          <w:color w:val="F79646"/>
        </w:rPr>
        <w:t>2026</w:t>
      </w:r>
      <w:r>
        <w:rPr>
          <w:color w:val="F79646"/>
        </w:rPr>
        <w:t>年第三季度中国保险市场的运行情况，围绕宏观环境、保费景气度、产品迭代、渠道演进、风险管控及竞争格局六大维度展开系统性研判。本次调研走访覆盖全国</w:t>
      </w:r>
      <w:r>
        <w:rPr>
          <w:color w:val="F79646"/>
        </w:rPr>
        <w:t>31</w:t>
      </w:r>
      <w:r>
        <w:rPr>
          <w:color w:val="F79646"/>
        </w:rPr>
        <w:t>个省级行政区的</w:t>
      </w:r>
      <w:r>
        <w:rPr>
          <w:color w:val="F79646"/>
        </w:rPr>
        <w:t>158</w:t>
      </w:r>
      <w:r>
        <w:rPr>
          <w:color w:val="F79646"/>
        </w:rPr>
        <w:t>家保险机构，回收有效问卷逾</w:t>
      </w:r>
      <w:r>
        <w:rPr>
          <w:color w:val="F79646"/>
        </w:rPr>
        <w:t>13,500</w:t>
      </w:r>
      <w:r>
        <w:rPr>
          <w:color w:val="F79646"/>
        </w:rPr>
        <w:t>份，力求多角度、立体化地呈现行业最新动态。</w:t>
      </w:r>
    </w:p>
    <w:p w14:paraId="3ACCCB63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调研立意与目标</w:t>
      </w:r>
    </w:p>
    <w:p w14:paraId="5DA3619D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持续追踪保险业季度经营景气度，识别市场结构性拐点</w:t>
      </w:r>
    </w:p>
    <w:p w14:paraId="5FE4BD44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研判宏观与监管环境变化向保险业传导的具体路径</w:t>
      </w:r>
    </w:p>
    <w:p w14:paraId="653DD5DB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检验产品端创新与渠道端变革的阶段成效</w:t>
      </w:r>
    </w:p>
    <w:p w14:paraId="104231F1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为机构经营决策与监管政策完善提供数据依据</w:t>
      </w:r>
    </w:p>
    <w:p w14:paraId="568295EF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调研边界与方法论</w:t>
      </w:r>
    </w:p>
    <w:p w14:paraId="6ABED22E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信息来源：金融监管部门披露数据、行业协会月报、上市公司财报、一线机构走访访谈</w:t>
      </w:r>
    </w:p>
    <w:p w14:paraId="35921F2E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样本构成：人身险公司</w:t>
      </w:r>
      <w:r>
        <w:rPr>
          <w:color w:val="F79646"/>
          <w:sz w:val="21"/>
        </w:rPr>
        <w:t>82</w:t>
      </w:r>
      <w:r>
        <w:rPr>
          <w:color w:val="F79646"/>
          <w:sz w:val="21"/>
        </w:rPr>
        <w:t>家、财产险公司</w:t>
      </w:r>
      <w:r>
        <w:rPr>
          <w:color w:val="F79646"/>
          <w:sz w:val="21"/>
        </w:rPr>
        <w:t>76</w:t>
      </w:r>
      <w:r>
        <w:rPr>
          <w:color w:val="F79646"/>
          <w:sz w:val="21"/>
        </w:rPr>
        <w:t>家，覆盖主要业务条线</w:t>
      </w:r>
    </w:p>
    <w:p w14:paraId="41C2F3D7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研究方法：定量统计与定性研判相结合，截面比较与时间序列追踪互为补充</w:t>
      </w:r>
    </w:p>
    <w:p w14:paraId="6F11478F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核心结论速览</w:t>
      </w:r>
    </w:p>
    <w:p w14:paraId="04F32B98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三季度行业原保险保费收入达</w:t>
      </w:r>
      <w:r>
        <w:rPr>
          <w:color w:val="F79646"/>
          <w:sz w:val="21"/>
        </w:rPr>
        <w:t>2.35</w:t>
      </w:r>
      <w:r>
        <w:rPr>
          <w:color w:val="F79646"/>
          <w:sz w:val="21"/>
        </w:rPr>
        <w:t>万亿元，同比扩张</w:t>
      </w:r>
      <w:r>
        <w:rPr>
          <w:color w:val="F79646"/>
          <w:sz w:val="21"/>
        </w:rPr>
        <w:t>7.2%</w:t>
      </w:r>
      <w:r>
        <w:rPr>
          <w:color w:val="F79646"/>
          <w:sz w:val="21"/>
        </w:rPr>
        <w:t>，景气度环比小幅改善</w:t>
      </w:r>
    </w:p>
    <w:p w14:paraId="7FDC1665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线上化进程明显提速，互联网渠道保费份额升至</w:t>
      </w:r>
      <w:r>
        <w:rPr>
          <w:color w:val="F79646"/>
          <w:sz w:val="21"/>
        </w:rPr>
        <w:t>22.5%</w:t>
      </w:r>
      <w:r>
        <w:rPr>
          <w:color w:val="F79646"/>
          <w:sz w:val="21"/>
        </w:rPr>
        <w:t>，较上季再增</w:t>
      </w:r>
      <w:r>
        <w:rPr>
          <w:color w:val="F79646"/>
          <w:sz w:val="21"/>
        </w:rPr>
        <w:t>2.5</w:t>
      </w:r>
      <w:r>
        <w:rPr>
          <w:color w:val="F79646"/>
          <w:sz w:val="21"/>
        </w:rPr>
        <w:t>个百分点</w:t>
      </w:r>
    </w:p>
    <w:p w14:paraId="39541907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健康险继续保持双位数增长，同比</w:t>
      </w:r>
      <w:r>
        <w:rPr>
          <w:color w:val="F79646"/>
          <w:sz w:val="21"/>
        </w:rPr>
        <w:t>13.8%</w:t>
      </w:r>
      <w:r>
        <w:rPr>
          <w:color w:val="F79646"/>
          <w:sz w:val="21"/>
        </w:rPr>
        <w:t>的增速成为人身险板块首要拉动力</w:t>
      </w:r>
    </w:p>
    <w:p w14:paraId="6A50F097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低利率环境下利差损防控压力未减，定价利率上限维持在</w:t>
      </w:r>
      <w:r>
        <w:rPr>
          <w:color w:val="F79646"/>
          <w:sz w:val="21"/>
        </w:rPr>
        <w:t>2.5%</w:t>
      </w:r>
    </w:p>
    <w:p w14:paraId="3E2AC2E6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中小公司差异化竞争成效显现，在若干细分赛道份额稳步抬升</w:t>
      </w:r>
    </w:p>
    <w:p w14:paraId="0983B691" w14:textId="77777777" w:rsidR="00F459DC" w:rsidRDefault="00DE6982">
      <w:pPr>
        <w:pStyle w:val="21"/>
        <w:spacing w:before="240" w:after="120"/>
      </w:pPr>
      <w:bookmarkStart w:id="1" w:name="_Toc236361336"/>
      <w:r>
        <w:rPr>
          <w:rFonts w:ascii="SimHei" w:eastAsia="SimHei" w:hAnsi="SimHei"/>
        </w:rPr>
        <w:t xml:space="preserve">2.1  </w:t>
      </w:r>
      <w:r>
        <w:rPr>
          <w:rFonts w:ascii="SimHei" w:eastAsia="SimHei" w:hAnsi="SimHei"/>
        </w:rPr>
        <w:t>经济政策环境</w:t>
      </w:r>
      <w:bookmarkEnd w:id="1"/>
    </w:p>
    <w:p w14:paraId="1CFF9751" w14:textId="77777777" w:rsidR="00F459DC" w:rsidRDefault="00DE6982">
      <w:pPr>
        <w:spacing w:after="80" w:line="360" w:lineRule="auto"/>
        <w:ind w:firstLineChars="200" w:firstLine="560"/>
      </w:pPr>
      <w:r>
        <w:rPr>
          <w:color w:val="F79646"/>
        </w:rPr>
        <w:t>本节从宏观经济基本面与行业监管政策两条线索切入，剖析</w:t>
      </w:r>
      <w:r>
        <w:rPr>
          <w:color w:val="F79646"/>
        </w:rPr>
        <w:t>2026</w:t>
      </w:r>
      <w:r>
        <w:rPr>
          <w:color w:val="F79646"/>
        </w:rPr>
        <w:t>年第三季度影响保险业发展的外部条件。三季度经济延续温和</w:t>
      </w:r>
      <w:r>
        <w:rPr>
          <w:color w:val="F79646"/>
        </w:rPr>
        <w:lastRenderedPageBreak/>
        <w:t>修复，政策面积极信号密集释放，共同塑造了行业运行的制度与宏观背景。</w:t>
      </w:r>
    </w:p>
    <w:p w14:paraId="145CD293" w14:textId="77777777" w:rsidR="00F459DC" w:rsidRDefault="00DE6982">
      <w:pPr>
        <w:pStyle w:val="31"/>
        <w:spacing w:before="240" w:after="120"/>
      </w:pPr>
      <w:bookmarkStart w:id="2" w:name="_Toc236361337"/>
      <w:r>
        <w:rPr>
          <w:rFonts w:ascii="SimHei" w:eastAsia="SimHei" w:hAnsi="SimHei"/>
        </w:rPr>
        <w:t xml:space="preserve">2.1.1  </w:t>
      </w:r>
      <w:r>
        <w:rPr>
          <w:rFonts w:ascii="SimHei" w:eastAsia="SimHei" w:hAnsi="SimHei"/>
        </w:rPr>
        <w:t>宏观经济运行情况</w:t>
      </w:r>
      <w:bookmarkEnd w:id="2"/>
    </w:p>
    <w:p w14:paraId="48070434" w14:textId="77777777" w:rsidR="00F459DC" w:rsidRDefault="00DE6982">
      <w:pPr>
        <w:spacing w:after="80" w:line="360" w:lineRule="auto"/>
        <w:ind w:firstLineChars="200" w:firstLine="560"/>
      </w:pPr>
      <w:r>
        <w:rPr>
          <w:color w:val="F79646"/>
        </w:rPr>
        <w:t>2026</w:t>
      </w:r>
      <w:r>
        <w:rPr>
          <w:color w:val="F79646"/>
        </w:rPr>
        <w:t>年第三季度，国民经济保持平稳恢复节奏。据国家统计局公布，三季度</w:t>
      </w:r>
      <w:r>
        <w:rPr>
          <w:color w:val="F79646"/>
        </w:rPr>
        <w:t>GDP</w:t>
      </w:r>
      <w:r>
        <w:rPr>
          <w:color w:val="F79646"/>
        </w:rPr>
        <w:t>同比增速</w:t>
      </w:r>
      <w:r>
        <w:rPr>
          <w:color w:val="F79646"/>
        </w:rPr>
        <w:t>4.9%</w:t>
      </w:r>
      <w:r>
        <w:rPr>
          <w:color w:val="F79646"/>
        </w:rPr>
        <w:t>，环比扩张</w:t>
      </w:r>
      <w:r>
        <w:rPr>
          <w:color w:val="F79646"/>
        </w:rPr>
        <w:t>1.1%</w:t>
      </w:r>
      <w:r>
        <w:rPr>
          <w:color w:val="F79646"/>
        </w:rPr>
        <w:t>，整体运行于合理区间，内生增长动能逐步蓄积。</w:t>
      </w:r>
    </w:p>
    <w:p w14:paraId="50391E93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三驾马车表现</w:t>
      </w:r>
    </w:p>
    <w:p w14:paraId="3A56C585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消费：社会消费品零售总额同比扩张</w:t>
      </w:r>
      <w:r>
        <w:rPr>
          <w:color w:val="F79646"/>
          <w:sz w:val="21"/>
        </w:rPr>
        <w:t>4.5%</w:t>
      </w:r>
      <w:r>
        <w:rPr>
          <w:color w:val="F79646"/>
          <w:sz w:val="21"/>
        </w:rPr>
        <w:t>，服务类消费回暖势头延续</w:t>
      </w:r>
    </w:p>
    <w:p w14:paraId="2DE44A2C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投资：固定资产投资同比扩张</w:t>
      </w:r>
      <w:r>
        <w:rPr>
          <w:color w:val="F79646"/>
          <w:sz w:val="21"/>
        </w:rPr>
        <w:t>5.1%</w:t>
      </w:r>
      <w:r>
        <w:rPr>
          <w:color w:val="F79646"/>
          <w:sz w:val="21"/>
        </w:rPr>
        <w:t>，高技术制造业投资增速居前</w:t>
      </w:r>
    </w:p>
    <w:p w14:paraId="29FE3F12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外贸：货物出口同比扩张</w:t>
      </w:r>
      <w:r>
        <w:rPr>
          <w:color w:val="F79646"/>
          <w:sz w:val="21"/>
        </w:rPr>
        <w:t>4.2%</w:t>
      </w:r>
      <w:r>
        <w:rPr>
          <w:color w:val="F79646"/>
          <w:sz w:val="21"/>
        </w:rPr>
        <w:t>，对新兴市场出口表现亮眼</w:t>
      </w:r>
    </w:p>
    <w:p w14:paraId="19C65B26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价格运行</w:t>
      </w:r>
    </w:p>
    <w:p w14:paraId="69A390D3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CPI</w:t>
      </w:r>
      <w:r>
        <w:rPr>
          <w:color w:val="F79646"/>
          <w:sz w:val="21"/>
        </w:rPr>
        <w:t>同比上涨</w:t>
      </w:r>
      <w:r>
        <w:rPr>
          <w:color w:val="F79646"/>
          <w:sz w:val="21"/>
        </w:rPr>
        <w:t>1.1%</w:t>
      </w:r>
      <w:r>
        <w:rPr>
          <w:color w:val="F79646"/>
          <w:sz w:val="21"/>
        </w:rPr>
        <w:t>，物价中枢温和抬升</w:t>
      </w:r>
    </w:p>
    <w:p w14:paraId="42F7EE8E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PPI</w:t>
      </w:r>
      <w:r>
        <w:rPr>
          <w:color w:val="F79646"/>
          <w:sz w:val="21"/>
        </w:rPr>
        <w:t>同比微降</w:t>
      </w:r>
      <w:r>
        <w:rPr>
          <w:color w:val="F79646"/>
          <w:sz w:val="21"/>
        </w:rPr>
        <w:t>0.1%</w:t>
      </w:r>
      <w:r>
        <w:rPr>
          <w:color w:val="F79646"/>
          <w:sz w:val="21"/>
        </w:rPr>
        <w:t>，工业品价格通缩压力明显缓解</w:t>
      </w:r>
    </w:p>
    <w:p w14:paraId="3C8799C0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核心</w:t>
      </w:r>
      <w:r>
        <w:rPr>
          <w:color w:val="F79646"/>
          <w:sz w:val="21"/>
        </w:rPr>
        <w:t>CPI</w:t>
      </w:r>
      <w:r>
        <w:rPr>
          <w:color w:val="F79646"/>
          <w:sz w:val="21"/>
        </w:rPr>
        <w:t>同比上涨</w:t>
      </w:r>
      <w:r>
        <w:rPr>
          <w:color w:val="F79646"/>
          <w:sz w:val="21"/>
        </w:rPr>
        <w:t>0.9%</w:t>
      </w:r>
      <w:r>
        <w:rPr>
          <w:color w:val="F79646"/>
          <w:sz w:val="21"/>
        </w:rPr>
        <w:t>，终端需求复苏节奏趋于平稳</w:t>
      </w:r>
    </w:p>
    <w:p w14:paraId="39221E43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劳动力市场</w:t>
      </w:r>
    </w:p>
    <w:p w14:paraId="6CEFBD10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城镇调查失业率均值</w:t>
      </w:r>
      <w:r>
        <w:rPr>
          <w:color w:val="F79646"/>
          <w:sz w:val="21"/>
        </w:rPr>
        <w:t>5.0%</w:t>
      </w:r>
      <w:r>
        <w:rPr>
          <w:color w:val="F79646"/>
          <w:sz w:val="21"/>
        </w:rPr>
        <w:t>，较二季度回落</w:t>
      </w:r>
      <w:r>
        <w:rPr>
          <w:color w:val="F79646"/>
          <w:sz w:val="21"/>
        </w:rPr>
        <w:t>0.1</w:t>
      </w:r>
      <w:r>
        <w:rPr>
          <w:color w:val="F79646"/>
          <w:sz w:val="21"/>
        </w:rPr>
        <w:t>个百分点</w:t>
      </w:r>
    </w:p>
    <w:p w14:paraId="44350F04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新经济新业态吸纳就业作用增强，灵活就业群体规模稳步扩张</w:t>
      </w:r>
    </w:p>
    <w:p w14:paraId="428DDE33" w14:textId="77777777" w:rsidR="00F459DC" w:rsidRDefault="00DE6982">
      <w:pPr>
        <w:spacing w:after="80" w:line="360" w:lineRule="auto"/>
        <w:ind w:firstLineChars="200" w:firstLine="560"/>
      </w:pPr>
      <w:r>
        <w:rPr>
          <w:color w:val="F79646"/>
        </w:rPr>
        <w:t>整体来看，宏观经济的温和修复为保险消费奠定了基础，居民收入预期改善持续释放保险需求，三季度保险消费信心指数环比上扬</w:t>
      </w:r>
      <w:r>
        <w:rPr>
          <w:color w:val="F79646"/>
        </w:rPr>
        <w:t>2.3</w:t>
      </w:r>
      <w:r>
        <w:rPr>
          <w:color w:val="F79646"/>
        </w:rPr>
        <w:t>个点。</w:t>
      </w:r>
    </w:p>
    <w:p w14:paraId="57922AE2" w14:textId="77777777" w:rsidR="00F459DC" w:rsidRDefault="00DE6982">
      <w:pPr>
        <w:pStyle w:val="31"/>
        <w:spacing w:before="240" w:after="120"/>
      </w:pPr>
      <w:bookmarkStart w:id="3" w:name="_Toc236361338"/>
      <w:r>
        <w:rPr>
          <w:rFonts w:ascii="SimHei" w:eastAsia="SimHei" w:hAnsi="SimHei"/>
        </w:rPr>
        <w:t xml:space="preserve">2.1.2  </w:t>
      </w:r>
      <w:r>
        <w:rPr>
          <w:rFonts w:ascii="SimHei" w:eastAsia="SimHei" w:hAnsi="SimHei"/>
        </w:rPr>
        <w:t>保险行业政策动态</w:t>
      </w:r>
      <w:bookmarkEnd w:id="3"/>
    </w:p>
    <w:p w14:paraId="1D841092" w14:textId="77777777" w:rsidR="00F459DC" w:rsidRDefault="00DE6982">
      <w:pPr>
        <w:spacing w:after="80" w:line="360" w:lineRule="auto"/>
        <w:ind w:firstLineChars="200" w:firstLine="560"/>
      </w:pPr>
      <w:r>
        <w:rPr>
          <w:color w:val="000000"/>
        </w:rPr>
        <w:t>2026</w:t>
      </w:r>
      <w:r>
        <w:rPr>
          <w:color w:val="000000"/>
        </w:rPr>
        <w:t>年第三季度，监管部门以防风险、促转型、优服务为工作主线，密集推动多项政策落地，对行业生态产生深远影响。</w:t>
      </w:r>
    </w:p>
    <w:p w14:paraId="6E7C7D2A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监管举措</w:t>
      </w:r>
    </w:p>
    <w:p w14:paraId="38DAA314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lastRenderedPageBreak/>
        <w:t>金融监管总局印发《关于推进保险业高质量发展的指导意见》，明确数字化转型路线图</w:t>
      </w:r>
    </w:p>
    <w:p w14:paraId="36AF029E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《保险资金运用管理办法》补充规定落地，权益类资产配置比例上限进一步放宽</w:t>
      </w:r>
    </w:p>
    <w:p w14:paraId="730444C2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个人养老金制度全国推广进入深化阶段，税收优惠力度加码</w:t>
      </w:r>
    </w:p>
    <w:p w14:paraId="05CEACC2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行业规则升级</w:t>
      </w:r>
    </w:p>
    <w:p w14:paraId="64C63FB4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车险综改持续深化，新能源车险专属条款完成修订</w:t>
      </w:r>
    </w:p>
    <w:p w14:paraId="2486C332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健康险产品设计指引更新，长期医疗险费率调整机制走向规范化</w:t>
      </w:r>
    </w:p>
    <w:p w14:paraId="60FB10BB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互联网保险销售行为可回溯管理要求全面执行</w:t>
      </w:r>
    </w:p>
    <w:p w14:paraId="1ABDBF49" w14:textId="77777777" w:rsidR="00F459DC" w:rsidRDefault="00DE6982">
      <w:pPr>
        <w:spacing w:after="80" w:line="360" w:lineRule="auto"/>
        <w:ind w:firstLineChars="200" w:firstLine="560"/>
      </w:pPr>
      <w:r>
        <w:rPr>
          <w:color w:val="000000"/>
        </w:rPr>
        <w:t>政策体系的持续完善为行业高质量发展夯实了制度基础，同时也对险企的合规经营与精细化管理能力提出了更高门槛。</w:t>
      </w:r>
    </w:p>
    <w:p w14:paraId="7C6015D4" w14:textId="77777777" w:rsidR="00F459DC" w:rsidRDefault="00DE6982">
      <w:pPr>
        <w:pStyle w:val="21"/>
        <w:spacing w:before="240" w:after="120"/>
      </w:pPr>
      <w:bookmarkStart w:id="4" w:name="_Toc236361339"/>
      <w:r>
        <w:rPr>
          <w:rFonts w:ascii="SimHei" w:eastAsia="SimHei" w:hAnsi="SimHei"/>
        </w:rPr>
        <w:t xml:space="preserve">2.2  </w:t>
      </w:r>
      <w:r>
        <w:rPr>
          <w:rFonts w:ascii="SimHei" w:eastAsia="SimHei" w:hAnsi="SimHei"/>
        </w:rPr>
        <w:t>利率与资金面</w:t>
      </w:r>
      <w:bookmarkEnd w:id="4"/>
    </w:p>
    <w:p w14:paraId="0D325CB5" w14:textId="77777777" w:rsidR="00F459DC" w:rsidRDefault="00DE6982">
      <w:pPr>
        <w:spacing w:after="80" w:line="360" w:lineRule="auto"/>
        <w:ind w:firstLineChars="200" w:firstLine="560"/>
      </w:pPr>
      <w:r>
        <w:rPr>
          <w:color w:val="000000"/>
        </w:rPr>
        <w:t>利率水平是决定保险业经营表现的关键变量。本季度利率曲线呈现「低位震荡、边际企稳」特征，对险企资产配置与负债端定价持续形成深刻影响。</w:t>
      </w:r>
    </w:p>
    <w:p w14:paraId="601B3470" w14:textId="77777777" w:rsidR="00F459DC" w:rsidRDefault="00DE6982">
      <w:pPr>
        <w:pStyle w:val="31"/>
        <w:spacing w:before="240" w:after="120"/>
      </w:pPr>
      <w:bookmarkStart w:id="5" w:name="_Toc236361340"/>
      <w:r>
        <w:rPr>
          <w:rFonts w:ascii="SimHei" w:eastAsia="SimHei" w:hAnsi="SimHei"/>
        </w:rPr>
        <w:t xml:space="preserve">2.2.1  </w:t>
      </w:r>
      <w:r>
        <w:rPr>
          <w:rFonts w:ascii="SimHei" w:eastAsia="SimHei" w:hAnsi="SimHei"/>
        </w:rPr>
        <w:t>利率走势分析</w:t>
      </w:r>
      <w:bookmarkEnd w:id="5"/>
    </w:p>
    <w:p w14:paraId="0EB79EBB" w14:textId="77777777" w:rsidR="00F459DC" w:rsidRDefault="00DE6982">
      <w:pPr>
        <w:spacing w:before="120" w:after="40" w:line="360" w:lineRule="auto"/>
        <w:ind w:firstLineChars="200" w:firstLine="561"/>
      </w:pPr>
      <w:r>
        <w:rPr>
          <w:rFonts w:ascii="STZhongsong" w:eastAsia="STZhongsong" w:hAnsi="STZhongsong"/>
          <w:b/>
          <w:color w:val="000000"/>
        </w:rPr>
        <w:t>市场利率全景</w:t>
      </w:r>
    </w:p>
    <w:p w14:paraId="355130F2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1</w:t>
      </w:r>
      <w:r>
        <w:rPr>
          <w:rFonts w:ascii="STZhongsong" w:eastAsia="STZhongsong" w:hAnsi="STZhongsong"/>
          <w:color w:val="000000"/>
          <w:sz w:val="21"/>
        </w:rPr>
        <w:t>年期</w:t>
      </w:r>
      <w:r>
        <w:rPr>
          <w:rFonts w:ascii="STZhongsong" w:eastAsia="STZhongsong" w:hAnsi="STZhongsong"/>
          <w:color w:val="000000"/>
          <w:sz w:val="21"/>
        </w:rPr>
        <w:t>LPR</w:t>
      </w:r>
      <w:r>
        <w:rPr>
          <w:rFonts w:ascii="STZhongsong" w:eastAsia="STZhongsong" w:hAnsi="STZhongsong"/>
          <w:color w:val="000000"/>
          <w:sz w:val="21"/>
        </w:rPr>
        <w:t>持平于</w:t>
      </w:r>
      <w:r>
        <w:rPr>
          <w:rFonts w:ascii="STZhongsong" w:eastAsia="STZhongsong" w:hAnsi="STZhongsong"/>
          <w:color w:val="000000"/>
          <w:sz w:val="21"/>
        </w:rPr>
        <w:t>3.10%</w:t>
      </w:r>
      <w:r>
        <w:rPr>
          <w:rFonts w:ascii="STZhongsong" w:eastAsia="STZhongsong" w:hAnsi="STZhongsong"/>
          <w:color w:val="000000"/>
          <w:sz w:val="21"/>
        </w:rPr>
        <w:t>，</w:t>
      </w:r>
      <w:r>
        <w:rPr>
          <w:rFonts w:ascii="STZhongsong" w:eastAsia="STZhongsong" w:hAnsi="STZhongsong"/>
          <w:color w:val="000000"/>
          <w:sz w:val="21"/>
        </w:rPr>
        <w:t>5</w:t>
      </w:r>
      <w:r>
        <w:rPr>
          <w:rFonts w:ascii="STZhongsong" w:eastAsia="STZhongsong" w:hAnsi="STZhongsong"/>
          <w:color w:val="000000"/>
          <w:sz w:val="21"/>
        </w:rPr>
        <w:t>年期以上</w:t>
      </w:r>
      <w:r>
        <w:rPr>
          <w:rFonts w:ascii="STZhongsong" w:eastAsia="STZhongsong" w:hAnsi="STZhongsong"/>
          <w:color w:val="000000"/>
          <w:sz w:val="21"/>
        </w:rPr>
        <w:t>LPR</w:t>
      </w:r>
      <w:r>
        <w:rPr>
          <w:rFonts w:ascii="STZhongsong" w:eastAsia="STZhongsong" w:hAnsi="STZhongsong"/>
          <w:color w:val="000000"/>
          <w:sz w:val="21"/>
        </w:rPr>
        <w:t>下调至</w:t>
      </w:r>
      <w:r>
        <w:rPr>
          <w:rFonts w:ascii="STZhongsong" w:eastAsia="STZhongsong" w:hAnsi="STZhongsong"/>
          <w:color w:val="000000"/>
          <w:sz w:val="21"/>
        </w:rPr>
        <w:t>3.55%</w:t>
      </w:r>
      <w:r>
        <w:rPr>
          <w:rFonts w:ascii="STZhongsong" w:eastAsia="STZhongsong" w:hAnsi="STZhongsong"/>
          <w:color w:val="000000"/>
          <w:sz w:val="21"/>
        </w:rPr>
        <w:t>，较二季度下降</w:t>
      </w:r>
      <w:r>
        <w:rPr>
          <w:rFonts w:ascii="STZhongsong" w:eastAsia="STZhongsong" w:hAnsi="STZhongsong"/>
          <w:color w:val="000000"/>
          <w:sz w:val="21"/>
        </w:rPr>
        <w:t>5</w:t>
      </w:r>
      <w:r>
        <w:rPr>
          <w:rFonts w:ascii="STZhongsong" w:eastAsia="STZhongsong" w:hAnsi="STZhongsong"/>
          <w:color w:val="000000"/>
          <w:sz w:val="21"/>
        </w:rPr>
        <w:t>个基点</w:t>
      </w:r>
    </w:p>
    <w:p w14:paraId="06CF728F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10</w:t>
      </w:r>
      <w:r>
        <w:rPr>
          <w:rFonts w:ascii="STZhongsong" w:eastAsia="STZhongsong" w:hAnsi="STZhongsong"/>
          <w:color w:val="000000"/>
          <w:sz w:val="21"/>
        </w:rPr>
        <w:t>年期国债收益率于</w:t>
      </w:r>
      <w:r>
        <w:rPr>
          <w:rFonts w:ascii="STZhongsong" w:eastAsia="STZhongsong" w:hAnsi="STZhongsong"/>
          <w:color w:val="000000"/>
          <w:sz w:val="21"/>
        </w:rPr>
        <w:t>2.30%-2.45%</w:t>
      </w:r>
      <w:r>
        <w:rPr>
          <w:rFonts w:ascii="STZhongsong" w:eastAsia="STZhongsong" w:hAnsi="STZhongsong"/>
          <w:color w:val="000000"/>
          <w:sz w:val="21"/>
        </w:rPr>
        <w:t>区间窄幅波动，均值与二季度大致持平</w:t>
      </w:r>
    </w:p>
    <w:p w14:paraId="5F6A85BB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货币市场利率中枢略有抬升，</w:t>
      </w:r>
      <w:r>
        <w:rPr>
          <w:rFonts w:ascii="STZhongsong" w:eastAsia="STZhongsong" w:hAnsi="STZhongsong"/>
          <w:color w:val="000000"/>
          <w:sz w:val="21"/>
        </w:rPr>
        <w:t>DR007</w:t>
      </w:r>
      <w:r>
        <w:rPr>
          <w:rFonts w:ascii="STZhongsong" w:eastAsia="STZhongsong" w:hAnsi="STZhongsong"/>
          <w:color w:val="000000"/>
          <w:sz w:val="21"/>
        </w:rPr>
        <w:t>均值约</w:t>
      </w:r>
      <w:r>
        <w:rPr>
          <w:rFonts w:ascii="STZhongsong" w:eastAsia="STZhongsong" w:hAnsi="STZhongsong"/>
          <w:color w:val="000000"/>
          <w:sz w:val="21"/>
        </w:rPr>
        <w:t>1.90%</w:t>
      </w:r>
    </w:p>
    <w:p w14:paraId="1499301A" w14:textId="77777777" w:rsidR="00F459DC" w:rsidRDefault="00DE6982">
      <w:pPr>
        <w:spacing w:before="120" w:after="40" w:line="360" w:lineRule="auto"/>
        <w:ind w:firstLineChars="200" w:firstLine="561"/>
      </w:pPr>
      <w:r>
        <w:rPr>
          <w:rFonts w:ascii="STZhongsong" w:eastAsia="STZhongsong" w:hAnsi="STZhongsong"/>
          <w:b/>
          <w:color w:val="000000"/>
        </w:rPr>
        <w:t>对保险业传导效应</w:t>
      </w:r>
    </w:p>
    <w:p w14:paraId="53D70EC4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新单定价：监管维持传统寿险定价利率上限</w:t>
      </w:r>
      <w:r>
        <w:rPr>
          <w:rFonts w:ascii="STZhongsong" w:eastAsia="STZhongsong" w:hAnsi="STZhongsong"/>
          <w:color w:val="000000"/>
          <w:sz w:val="21"/>
        </w:rPr>
        <w:t>2.5%</w:t>
      </w:r>
      <w:r>
        <w:rPr>
          <w:rFonts w:ascii="STZhongsong" w:eastAsia="STZhongsong" w:hAnsi="STZhongsong"/>
          <w:color w:val="000000"/>
          <w:sz w:val="21"/>
        </w:rPr>
        <w:t>，分红险与万能险相对吸引力进一步增强</w:t>
      </w:r>
    </w:p>
    <w:p w14:paraId="7C5E4D51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存量业务：高利率存量保单利差损风险仍需警惕，部分公司主动优化产品结构以缓解压力</w:t>
      </w:r>
    </w:p>
    <w:p w14:paraId="48C90DA4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资产配置：险企加大长久期利率债与高股息权益资产配置，改善资产负债匹配</w:t>
      </w:r>
    </w:p>
    <w:p w14:paraId="641D3819" w14:textId="77777777" w:rsidR="00F459DC" w:rsidRDefault="00DE6982">
      <w:pPr>
        <w:spacing w:after="80" w:line="360" w:lineRule="auto"/>
        <w:ind w:firstLineChars="200" w:firstLine="560"/>
      </w:pPr>
      <w:r>
        <w:rPr>
          <w:rFonts w:ascii="STZhongsong" w:eastAsia="STZhongsong" w:hAnsi="STZhongsong"/>
          <w:color w:val="000000"/>
        </w:rPr>
        <w:lastRenderedPageBreak/>
        <w:t>在利率长期低位运行的背景下，险企资产负债匹配管理挑战依旧，同时也驱动产品形态向分红型、保障型方向加速调整。</w:t>
      </w:r>
    </w:p>
    <w:p w14:paraId="4FFE0A05" w14:textId="77777777" w:rsidR="00F459DC" w:rsidRDefault="00DE6982">
      <w:pPr>
        <w:pStyle w:val="21"/>
        <w:spacing w:before="240" w:after="120"/>
      </w:pPr>
      <w:bookmarkStart w:id="6" w:name="_Toc236361341"/>
      <w:r>
        <w:rPr>
          <w:rFonts w:ascii="SimHei" w:eastAsia="SimHei" w:hAnsi="SimHei"/>
        </w:rPr>
        <w:t xml:space="preserve">2.3  </w:t>
      </w:r>
      <w:r>
        <w:rPr>
          <w:rFonts w:ascii="SimHei" w:eastAsia="SimHei" w:hAnsi="SimHei"/>
        </w:rPr>
        <w:t>区域市场发展</w:t>
      </w:r>
      <w:bookmarkEnd w:id="6"/>
    </w:p>
    <w:p w14:paraId="5FD35415" w14:textId="77777777" w:rsidR="00F459DC" w:rsidRDefault="00DE6982">
      <w:pPr>
        <w:spacing w:after="80" w:line="360" w:lineRule="auto"/>
        <w:ind w:firstLineChars="200" w:firstLine="560"/>
      </w:pPr>
      <w:r>
        <w:rPr>
          <w:color w:val="000000"/>
        </w:rPr>
        <w:t>区域发展不均衡是中国保险市场的一项长期特征。本季度数据显示，各区域保费增长延续分化格局，中西部增速继续领跑，区域协调发展成效逐步显现。</w:t>
      </w:r>
    </w:p>
    <w:p w14:paraId="494D838B" w14:textId="77777777" w:rsidR="00F459DC" w:rsidRDefault="00DE6982">
      <w:pPr>
        <w:pStyle w:val="31"/>
        <w:spacing w:before="240" w:after="120"/>
      </w:pPr>
      <w:bookmarkStart w:id="7" w:name="_Toc236361342"/>
      <w:r>
        <w:rPr>
          <w:rFonts w:ascii="SimHei" w:eastAsia="SimHei" w:hAnsi="SimHei"/>
        </w:rPr>
        <w:t xml:space="preserve">2.3.1  </w:t>
      </w:r>
      <w:r>
        <w:rPr>
          <w:rFonts w:ascii="SimHei" w:eastAsia="SimHei" w:hAnsi="SimHei"/>
        </w:rPr>
        <w:t>区域保费分布特征</w:t>
      </w:r>
      <w:bookmarkEnd w:id="7"/>
    </w:p>
    <w:p w14:paraId="3DBC4423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区域分化图谱</w:t>
      </w:r>
    </w:p>
    <w:p w14:paraId="7A8EC7FB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东部沿海地区保费份额降至</w:t>
      </w:r>
      <w:r>
        <w:rPr>
          <w:color w:val="000000"/>
          <w:sz w:val="21"/>
        </w:rPr>
        <w:t>57.5%</w:t>
      </w:r>
      <w:r>
        <w:rPr>
          <w:color w:val="000000"/>
          <w:sz w:val="21"/>
        </w:rPr>
        <w:t>，较二季度收窄</w:t>
      </w:r>
      <w:r>
        <w:rPr>
          <w:color w:val="000000"/>
          <w:sz w:val="21"/>
        </w:rPr>
        <w:t>0.8</w:t>
      </w:r>
      <w:r>
        <w:rPr>
          <w:color w:val="000000"/>
          <w:sz w:val="21"/>
        </w:rPr>
        <w:t>个百分点，增速放缓至</w:t>
      </w:r>
      <w:r>
        <w:rPr>
          <w:color w:val="000000"/>
          <w:sz w:val="21"/>
        </w:rPr>
        <w:t>4.8%</w:t>
      </w:r>
    </w:p>
    <w:p w14:paraId="529ADD25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中部地区保费增速领跑全国，同比扩张</w:t>
      </w:r>
      <w:r>
        <w:rPr>
          <w:color w:val="000000"/>
          <w:sz w:val="21"/>
        </w:rPr>
        <w:t>8.5%</w:t>
      </w:r>
      <w:r>
        <w:rPr>
          <w:color w:val="000000"/>
          <w:sz w:val="21"/>
        </w:rPr>
        <w:t>，份额提升至</w:t>
      </w:r>
      <w:r>
        <w:rPr>
          <w:color w:val="000000"/>
          <w:sz w:val="21"/>
        </w:rPr>
        <w:t>22.8%</w:t>
      </w:r>
    </w:p>
    <w:p w14:paraId="1A22C31D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西部地区维持稳健增长，同比扩张</w:t>
      </w:r>
      <w:r>
        <w:rPr>
          <w:color w:val="000000"/>
          <w:sz w:val="21"/>
        </w:rPr>
        <w:t>7.6%</w:t>
      </w:r>
      <w:r>
        <w:rPr>
          <w:color w:val="000000"/>
          <w:sz w:val="21"/>
        </w:rPr>
        <w:t>，政策性农险贡献突出</w:t>
      </w:r>
    </w:p>
    <w:p w14:paraId="42A3EDE0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城乡结构差异</w:t>
      </w:r>
    </w:p>
    <w:p w14:paraId="25E98903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一线城市人均保费支出达</w:t>
      </w:r>
      <w:r>
        <w:rPr>
          <w:color w:val="000000"/>
          <w:sz w:val="21"/>
        </w:rPr>
        <w:t>6,500</w:t>
      </w:r>
      <w:r>
        <w:rPr>
          <w:color w:val="000000"/>
          <w:sz w:val="21"/>
        </w:rPr>
        <w:t>元，保险密度显著高于全国均值</w:t>
      </w:r>
    </w:p>
    <w:p w14:paraId="0B39FB61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县域及农村市场渗透率升至</w:t>
      </w:r>
      <w:r>
        <w:rPr>
          <w:color w:val="000000"/>
          <w:sz w:val="21"/>
        </w:rPr>
        <w:t>16.8%</w:t>
      </w:r>
      <w:r>
        <w:rPr>
          <w:color w:val="000000"/>
          <w:sz w:val="21"/>
        </w:rPr>
        <w:t>，增速达</w:t>
      </w:r>
      <w:r>
        <w:rPr>
          <w:color w:val="000000"/>
          <w:sz w:val="21"/>
        </w:rPr>
        <w:t>11.2%</w:t>
      </w:r>
      <w:r>
        <w:rPr>
          <w:color w:val="000000"/>
          <w:sz w:val="21"/>
        </w:rPr>
        <w:t>，下沉潜力持续释放</w:t>
      </w:r>
    </w:p>
    <w:p w14:paraId="4A6D700F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县域专属产品供给增加，普惠型保险覆盖面进一步拓宽</w:t>
      </w:r>
    </w:p>
    <w:p w14:paraId="6370D5A6" w14:textId="77777777" w:rsidR="00F459DC" w:rsidRDefault="00DE6982">
      <w:pPr>
        <w:spacing w:after="80" w:line="360" w:lineRule="auto"/>
        <w:ind w:firstLineChars="200" w:firstLine="560"/>
      </w:pPr>
      <w:r>
        <w:rPr>
          <w:color w:val="000000"/>
        </w:rPr>
        <w:t>区域市场的差异化特征要求险企采取分层策略：在发达地区聚焦产品创新与服务升级，在欠发达地区着力渠道下沉与普惠保险推广。</w:t>
      </w:r>
    </w:p>
    <w:p w14:paraId="7AC13836" w14:textId="77777777" w:rsidR="00F459DC" w:rsidRDefault="00DE6982">
      <w:pPr>
        <w:pStyle w:val="21"/>
        <w:spacing w:before="240" w:after="120"/>
      </w:pPr>
      <w:bookmarkStart w:id="8" w:name="_Toc236361343"/>
      <w:r>
        <w:rPr>
          <w:rFonts w:ascii="SimHei" w:eastAsia="SimHei" w:hAnsi="SimHei"/>
        </w:rPr>
        <w:t xml:space="preserve">3.1  </w:t>
      </w:r>
      <w:r>
        <w:rPr>
          <w:rFonts w:ascii="SimHei" w:eastAsia="SimHei" w:hAnsi="SimHei"/>
        </w:rPr>
        <w:t>整体保费规模</w:t>
      </w:r>
      <w:bookmarkEnd w:id="8"/>
    </w:p>
    <w:p w14:paraId="619679EF" w14:textId="77777777" w:rsidR="00F459DC" w:rsidRDefault="00DE6982">
      <w:pPr>
        <w:spacing w:after="80" w:line="360" w:lineRule="auto"/>
        <w:ind w:firstLineChars="200" w:firstLine="560"/>
      </w:pPr>
      <w:r>
        <w:rPr>
          <w:color w:val="F79646"/>
        </w:rPr>
        <w:t>2026</w:t>
      </w:r>
      <w:r>
        <w:rPr>
          <w:color w:val="F79646"/>
        </w:rPr>
        <w:t>年第三季度，行业保费收入延续稳健扩张，增速较二季度小幅回升。全行业原保险保费收入达</w:t>
      </w:r>
      <w:r>
        <w:rPr>
          <w:color w:val="F79646"/>
        </w:rPr>
        <w:t>2.35</w:t>
      </w:r>
      <w:r>
        <w:rPr>
          <w:color w:val="F79646"/>
        </w:rPr>
        <w:t>万亿元，同比增长</w:t>
      </w:r>
      <w:r>
        <w:rPr>
          <w:color w:val="F79646"/>
        </w:rPr>
        <w:t>7.2%</w:t>
      </w:r>
      <w:r>
        <w:rPr>
          <w:color w:val="F79646"/>
        </w:rPr>
        <w:t>，环比增长</w:t>
      </w:r>
      <w:r>
        <w:rPr>
          <w:color w:val="F79646"/>
        </w:rPr>
        <w:t>7.8%</w:t>
      </w:r>
      <w:r>
        <w:rPr>
          <w:color w:val="F79646"/>
        </w:rPr>
        <w:t>。</w:t>
      </w:r>
    </w:p>
    <w:p w14:paraId="64D0ABA6" w14:textId="77777777" w:rsidR="00F459DC" w:rsidRDefault="00DE6982">
      <w:pPr>
        <w:pStyle w:val="31"/>
        <w:spacing w:before="240" w:after="120"/>
      </w:pPr>
      <w:bookmarkStart w:id="9" w:name="_Toc236361344"/>
      <w:r>
        <w:rPr>
          <w:rFonts w:ascii="SimHei" w:eastAsia="SimHei" w:hAnsi="SimHei"/>
        </w:rPr>
        <w:lastRenderedPageBreak/>
        <w:t xml:space="preserve">3.1.1  </w:t>
      </w:r>
      <w:r>
        <w:rPr>
          <w:rFonts w:ascii="SimHei" w:eastAsia="SimHei" w:hAnsi="SimHei"/>
        </w:rPr>
        <w:t>原保险保费收入</w:t>
      </w:r>
      <w:bookmarkEnd w:id="9"/>
    </w:p>
    <w:p w14:paraId="3455F9BD" w14:textId="77777777" w:rsidR="00F459DC" w:rsidRDefault="00DE6982">
      <w:pPr>
        <w:spacing w:after="80" w:line="360" w:lineRule="auto"/>
        <w:ind w:firstLineChars="200" w:firstLine="560"/>
      </w:pPr>
      <w:r>
        <w:rPr>
          <w:color w:val="F79646"/>
        </w:rPr>
        <w:t>三季度，全行业实现原保险保费收入</w:t>
      </w:r>
      <w:r>
        <w:rPr>
          <w:color w:val="F79646"/>
        </w:rPr>
        <w:t>2.35</w:t>
      </w:r>
      <w:r>
        <w:rPr>
          <w:color w:val="F79646"/>
        </w:rPr>
        <w:t>万亿元，同比增长</w:t>
      </w:r>
      <w:r>
        <w:rPr>
          <w:color w:val="F79646"/>
        </w:rPr>
        <w:t>7.2%</w:t>
      </w:r>
      <w:r>
        <w:rPr>
          <w:color w:val="F79646"/>
        </w:rPr>
        <w:t>。其中，人身险公司贡献</w:t>
      </w:r>
      <w:r>
        <w:rPr>
          <w:color w:val="F79646"/>
        </w:rPr>
        <w:t>1.82</w:t>
      </w:r>
      <w:r>
        <w:rPr>
          <w:color w:val="F79646"/>
        </w:rPr>
        <w:t>万亿元，同比增长</w:t>
      </w:r>
      <w:r>
        <w:rPr>
          <w:color w:val="F79646"/>
        </w:rPr>
        <w:t>7.6%</w:t>
      </w:r>
      <w:r>
        <w:rPr>
          <w:color w:val="F79646"/>
        </w:rPr>
        <w:t>；财产险公司贡献</w:t>
      </w:r>
      <w:r>
        <w:rPr>
          <w:color w:val="F79646"/>
        </w:rPr>
        <w:t>5,350</w:t>
      </w:r>
      <w:r>
        <w:rPr>
          <w:color w:val="F79646"/>
        </w:rPr>
        <w:t>亿元，同比增长</w:t>
      </w:r>
      <w:r>
        <w:rPr>
          <w:color w:val="F79646"/>
        </w:rPr>
        <w:t>6.0%</w:t>
      </w:r>
      <w:r>
        <w:rPr>
          <w:color w:val="F79646"/>
        </w:rPr>
        <w:t>。</w:t>
      </w:r>
    </w:p>
    <w:p w14:paraId="615A99DB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月度节奏</w:t>
      </w:r>
    </w:p>
    <w:p w14:paraId="6BCD4A5C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7</w:t>
      </w:r>
      <w:r>
        <w:rPr>
          <w:color w:val="F79646"/>
          <w:sz w:val="21"/>
        </w:rPr>
        <w:t>月保费收入</w:t>
      </w:r>
      <w:r>
        <w:rPr>
          <w:color w:val="F79646"/>
          <w:sz w:val="21"/>
        </w:rPr>
        <w:t>7,600</w:t>
      </w:r>
      <w:r>
        <w:rPr>
          <w:color w:val="F79646"/>
          <w:sz w:val="21"/>
        </w:rPr>
        <w:t>亿元，季度初平稳起步，环比扩张</w:t>
      </w:r>
      <w:r>
        <w:rPr>
          <w:color w:val="F79646"/>
          <w:sz w:val="21"/>
        </w:rPr>
        <w:t>2.6%</w:t>
      </w:r>
    </w:p>
    <w:p w14:paraId="3DAAA987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8</w:t>
      </w:r>
      <w:r>
        <w:rPr>
          <w:color w:val="F79646"/>
          <w:sz w:val="21"/>
        </w:rPr>
        <w:t>月保费收入</w:t>
      </w:r>
      <w:r>
        <w:rPr>
          <w:color w:val="F79646"/>
          <w:sz w:val="21"/>
        </w:rPr>
        <w:t>7,900</w:t>
      </w:r>
      <w:r>
        <w:rPr>
          <w:color w:val="F79646"/>
          <w:sz w:val="21"/>
        </w:rPr>
        <w:t>亿元，健康险与养老险构成主要增量</w:t>
      </w:r>
    </w:p>
    <w:p w14:paraId="57366E7E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9</w:t>
      </w:r>
      <w:r>
        <w:rPr>
          <w:color w:val="F79646"/>
          <w:sz w:val="21"/>
        </w:rPr>
        <w:t>月保费收入</w:t>
      </w:r>
      <w:r>
        <w:rPr>
          <w:color w:val="F79646"/>
          <w:sz w:val="21"/>
        </w:rPr>
        <w:t>8,000</w:t>
      </w:r>
      <w:r>
        <w:rPr>
          <w:color w:val="F79646"/>
          <w:sz w:val="21"/>
        </w:rPr>
        <w:t>亿元，季末冲量效应显现，银保渠道集中发力</w:t>
      </w:r>
    </w:p>
    <w:p w14:paraId="5E39B86E" w14:textId="77777777" w:rsidR="00DE6982" w:rsidRPr="004555A0" w:rsidRDefault="00DE6982">
      <w:pPr>
        <w:jc w:val="center"/>
        <w:rPr>
          <w:color w:val="F79646" w:themeColor="accent6"/>
        </w:rPr>
      </w:pPr>
      <w:r w:rsidRPr="004555A0">
        <w:rPr>
          <w:noProof/>
          <w:color w:val="F79646" w:themeColor="accent6"/>
        </w:rPr>
        <w:drawing>
          <wp:inline distT="0" distB="0" distL="0" distR="0" wp14:anchorId="2195CECA" wp14:editId="0B2AEA70">
            <wp:extent cx="4754880" cy="2646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保费收入趋势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4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39F0" w14:textId="0507C271" w:rsidR="00F459DC" w:rsidRDefault="00DE6982">
      <w:pPr>
        <w:spacing w:before="120" w:after="120" w:line="240" w:lineRule="auto"/>
        <w:jc w:val="center"/>
      </w:pPr>
      <w:r>
        <w:rPr>
          <w:sz w:val="20"/>
        </w:rPr>
        <w:t>图</w:t>
      </w:r>
      <w:r>
        <w:rPr>
          <w:sz w:val="20"/>
        </w:rPr>
        <w:t xml:space="preserve"> </w:t>
      </w:r>
      <w:bookmarkStart w:id="10" w:name="_Ref_图_1"/>
      <w:r>
        <w:fldChar w:fldCharType="begin"/>
      </w:r>
      <w:r>
        <w:instrText>SEQ Figure \* ARABIC</w:instrText>
      </w:r>
      <w:r>
        <w:fldChar w:fldCharType="separate"/>
      </w:r>
      <w:r w:rsidR="00255E40">
        <w:rPr>
          <w:noProof/>
        </w:rPr>
        <w:t>1</w:t>
      </w:r>
      <w:r>
        <w:rPr>
          <w:sz w:val="20"/>
          <w:szCs w:val="20"/>
        </w:rPr>
        <w:fldChar w:fldCharType="end"/>
      </w:r>
      <w:bookmarkEnd w:id="10"/>
      <w:r>
        <w:rPr>
          <w:sz w:val="20"/>
        </w:rPr>
        <w:t xml:space="preserve">  2024-2026</w:t>
      </w:r>
      <w:r>
        <w:rPr>
          <w:sz w:val="20"/>
        </w:rPr>
        <w:t>年季度保费收入趋势</w:t>
      </w:r>
    </w:p>
    <w:p w14:paraId="316C8E32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业务结构特征</w:t>
      </w:r>
    </w:p>
    <w:p w14:paraId="2C97DE1F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新单保费占比</w:t>
      </w:r>
      <w:r>
        <w:rPr>
          <w:color w:val="F79646"/>
          <w:sz w:val="21"/>
        </w:rPr>
        <w:t>39.2%</w:t>
      </w:r>
      <w:r>
        <w:rPr>
          <w:color w:val="F79646"/>
          <w:sz w:val="21"/>
        </w:rPr>
        <w:t>，较二季度回升</w:t>
      </w:r>
      <w:r>
        <w:rPr>
          <w:color w:val="F79646"/>
          <w:sz w:val="21"/>
        </w:rPr>
        <w:t>0.7</w:t>
      </w:r>
      <w:r>
        <w:rPr>
          <w:color w:val="F79646"/>
          <w:sz w:val="21"/>
        </w:rPr>
        <w:t>个百分点</w:t>
      </w:r>
    </w:p>
    <w:p w14:paraId="59310973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续期保费占比</w:t>
      </w:r>
      <w:r>
        <w:rPr>
          <w:color w:val="F79646"/>
          <w:sz w:val="21"/>
        </w:rPr>
        <w:t>60.8%</w:t>
      </w:r>
      <w:r>
        <w:rPr>
          <w:color w:val="F79646"/>
          <w:sz w:val="21"/>
        </w:rPr>
        <w:t>，业务基本盘保持稳健</w:t>
      </w:r>
    </w:p>
    <w:p w14:paraId="494477D7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长期险业务份额稳定在</w:t>
      </w:r>
      <w:r>
        <w:rPr>
          <w:color w:val="F79646"/>
          <w:sz w:val="21"/>
        </w:rPr>
        <w:t>73%</w:t>
      </w:r>
      <w:r>
        <w:rPr>
          <w:color w:val="F79646"/>
          <w:sz w:val="21"/>
        </w:rPr>
        <w:t>以上，业务质量持续优化</w:t>
      </w:r>
    </w:p>
    <w:p w14:paraId="62B63EA2" w14:textId="77777777" w:rsidR="00F459DC" w:rsidRDefault="00DE6982">
      <w:pPr>
        <w:pStyle w:val="31"/>
        <w:spacing w:before="240" w:after="120"/>
      </w:pPr>
      <w:bookmarkStart w:id="11" w:name="_Toc236361345"/>
      <w:r>
        <w:rPr>
          <w:rFonts w:ascii="SimHei" w:eastAsia="SimHei" w:hAnsi="SimHei"/>
        </w:rPr>
        <w:t xml:space="preserve">3.1.2  </w:t>
      </w:r>
      <w:r>
        <w:rPr>
          <w:rFonts w:ascii="SimHei" w:eastAsia="SimHei" w:hAnsi="SimHei"/>
        </w:rPr>
        <w:t>赔付支出情况</w:t>
      </w:r>
      <w:bookmarkEnd w:id="11"/>
    </w:p>
    <w:p w14:paraId="048DAA4B" w14:textId="77777777" w:rsidR="00F459DC" w:rsidRDefault="00DE6982">
      <w:pPr>
        <w:spacing w:after="80" w:line="360" w:lineRule="auto"/>
        <w:ind w:firstLineChars="200" w:firstLine="560"/>
      </w:pPr>
      <w:r>
        <w:rPr>
          <w:color w:val="000000"/>
        </w:rPr>
        <w:t>三季度，全行业赔付支出</w:t>
      </w:r>
      <w:r>
        <w:rPr>
          <w:color w:val="000000"/>
        </w:rPr>
        <w:t>7,200</w:t>
      </w:r>
      <w:r>
        <w:rPr>
          <w:color w:val="000000"/>
        </w:rPr>
        <w:t>亿元，同比增长</w:t>
      </w:r>
      <w:r>
        <w:rPr>
          <w:color w:val="000000"/>
        </w:rPr>
        <w:t>8.5%</w:t>
      </w:r>
      <w:r>
        <w:rPr>
          <w:color w:val="000000"/>
        </w:rPr>
        <w:t>，赔付增速略高于保费增速，反映出理赔端压力仍在累积。</w:t>
      </w:r>
    </w:p>
    <w:p w14:paraId="49CA9FC4" w14:textId="55FCCF7A" w:rsidR="00F459DC" w:rsidRDefault="00DE6982">
      <w:pPr>
        <w:spacing w:before="120" w:after="120" w:line="240" w:lineRule="auto"/>
        <w:jc w:val="center"/>
      </w:pPr>
      <w:r>
        <w:rPr>
          <w:sz w:val="20"/>
        </w:rPr>
        <w:t>表</w:t>
      </w:r>
      <w:r>
        <w:rPr>
          <w:sz w:val="20"/>
        </w:rPr>
        <w:t xml:space="preserve"> </w:t>
      </w:r>
      <w:bookmarkStart w:id="12" w:name="_Ref_表_1"/>
      <w:r>
        <w:fldChar w:fldCharType="begin"/>
      </w:r>
      <w:r>
        <w:instrText>SEQ Table \* ARABIC</w:instrText>
      </w:r>
      <w:r>
        <w:fldChar w:fldCharType="separate"/>
      </w:r>
      <w:r w:rsidR="00255E40">
        <w:rPr>
          <w:noProof/>
        </w:rPr>
        <w:t>1</w:t>
      </w:r>
      <w:r>
        <w:rPr>
          <w:sz w:val="20"/>
          <w:szCs w:val="20"/>
        </w:rPr>
        <w:fldChar w:fldCharType="end"/>
      </w:r>
      <w:bookmarkEnd w:id="12"/>
      <w:r>
        <w:rPr>
          <w:sz w:val="20"/>
        </w:rPr>
        <w:t xml:space="preserve">  2026</w:t>
      </w:r>
      <w:r>
        <w:rPr>
          <w:sz w:val="20"/>
        </w:rPr>
        <w:t>年</w:t>
      </w:r>
      <w:r>
        <w:rPr>
          <w:sz w:val="20"/>
        </w:rPr>
        <w:t>Q3</w:t>
      </w:r>
      <w:r>
        <w:rPr>
          <w:sz w:val="20"/>
        </w:rPr>
        <w:t>分险种赔付情况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23"/>
        <w:gridCol w:w="2131"/>
        <w:gridCol w:w="2131"/>
        <w:gridCol w:w="2131"/>
      </w:tblGrid>
      <w:tr w:rsidR="00BD5BB3" w14:paraId="6EF126F1" w14:textId="77777777" w:rsidTr="00BD5BB3">
        <w:trPr>
          <w:tblHeader/>
        </w:trPr>
        <w:tc>
          <w:tcPr>
            <w:tcW w:w="2160" w:type="dxa"/>
            <w:shd w:val="clear" w:color="auto" w:fill="1F3864"/>
          </w:tcPr>
          <w:p w14:paraId="7D5FF598" w14:textId="77777777" w:rsidR="00DE6982" w:rsidRDefault="00DE6982">
            <w:pPr>
              <w:jc w:val="center"/>
            </w:pPr>
            <w:r>
              <w:rPr>
                <w:b/>
                <w:color w:val="FFFFFF"/>
                <w:sz w:val="20"/>
              </w:rPr>
              <w:t>险种类别</w:t>
            </w:r>
          </w:p>
        </w:tc>
        <w:tc>
          <w:tcPr>
            <w:tcW w:w="2160" w:type="dxa"/>
            <w:shd w:val="clear" w:color="auto" w:fill="1F3864"/>
          </w:tcPr>
          <w:p w14:paraId="655DCECA" w14:textId="77777777" w:rsidR="00DE6982" w:rsidRDefault="00DE6982">
            <w:pPr>
              <w:jc w:val="center"/>
            </w:pPr>
            <w:r>
              <w:rPr>
                <w:b/>
                <w:color w:val="FFFFFF"/>
                <w:sz w:val="20"/>
              </w:rPr>
              <w:t>赔付支出</w:t>
            </w:r>
            <w:r>
              <w:rPr>
                <w:b/>
                <w:color w:val="FFFFFF"/>
                <w:sz w:val="20"/>
              </w:rPr>
              <w:t>(</w:t>
            </w:r>
            <w:r>
              <w:rPr>
                <w:b/>
                <w:color w:val="FFFFFF"/>
                <w:sz w:val="20"/>
              </w:rPr>
              <w:t>亿元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2160" w:type="dxa"/>
            <w:shd w:val="clear" w:color="auto" w:fill="1F3864"/>
          </w:tcPr>
          <w:p w14:paraId="5AD2FDEA" w14:textId="77777777" w:rsidR="00DE6982" w:rsidRDefault="00DE6982">
            <w:pPr>
              <w:jc w:val="center"/>
            </w:pPr>
            <w:r>
              <w:rPr>
                <w:b/>
                <w:color w:val="FFFFFF"/>
                <w:sz w:val="20"/>
              </w:rPr>
              <w:t>同比增长</w:t>
            </w:r>
          </w:p>
        </w:tc>
        <w:tc>
          <w:tcPr>
            <w:tcW w:w="2160" w:type="dxa"/>
            <w:shd w:val="clear" w:color="auto" w:fill="1F3864"/>
          </w:tcPr>
          <w:p w14:paraId="6B63CE60" w14:textId="77777777" w:rsidR="00DE6982" w:rsidRDefault="00DE6982">
            <w:pPr>
              <w:jc w:val="center"/>
            </w:pPr>
            <w:r>
              <w:rPr>
                <w:b/>
                <w:color w:val="FFFFFF"/>
                <w:sz w:val="20"/>
              </w:rPr>
              <w:t>赔付率</w:t>
            </w:r>
          </w:p>
        </w:tc>
      </w:tr>
      <w:tr w:rsidR="00BD5BB3" w14:paraId="317264BC" w14:textId="77777777" w:rsidTr="00BD5BB3">
        <w:tc>
          <w:tcPr>
            <w:tcW w:w="2160" w:type="dxa"/>
          </w:tcPr>
          <w:p w14:paraId="346FE54F" w14:textId="77777777" w:rsidR="00DE6982" w:rsidRDefault="00DE6982">
            <w:pPr>
              <w:jc w:val="center"/>
            </w:pPr>
            <w:r>
              <w:rPr>
                <w:sz w:val="20"/>
              </w:rPr>
              <w:lastRenderedPageBreak/>
              <w:t>寿险</w:t>
            </w:r>
          </w:p>
        </w:tc>
        <w:tc>
          <w:tcPr>
            <w:tcW w:w="2160" w:type="dxa"/>
          </w:tcPr>
          <w:p w14:paraId="43BCE7FB" w14:textId="77777777" w:rsidR="00DE6982" w:rsidRDefault="00DE6982">
            <w:pPr>
              <w:jc w:val="center"/>
            </w:pPr>
            <w:r>
              <w:rPr>
                <w:sz w:val="20"/>
              </w:rPr>
              <w:t>3,380</w:t>
            </w:r>
          </w:p>
        </w:tc>
        <w:tc>
          <w:tcPr>
            <w:tcW w:w="2160" w:type="dxa"/>
          </w:tcPr>
          <w:p w14:paraId="411C71AF" w14:textId="77777777" w:rsidR="00DE6982" w:rsidRDefault="00DE6982">
            <w:pPr>
              <w:jc w:val="center"/>
            </w:pPr>
            <w:r>
              <w:rPr>
                <w:sz w:val="20"/>
              </w:rPr>
              <w:t>7.0%</w:t>
            </w:r>
          </w:p>
        </w:tc>
        <w:tc>
          <w:tcPr>
            <w:tcW w:w="2160" w:type="dxa"/>
          </w:tcPr>
          <w:p w14:paraId="7B4216D2" w14:textId="77777777" w:rsidR="00DE6982" w:rsidRDefault="00DE6982">
            <w:pPr>
              <w:jc w:val="center"/>
            </w:pPr>
            <w:r>
              <w:rPr>
                <w:sz w:val="20"/>
              </w:rPr>
              <w:t>29.1%</w:t>
            </w:r>
          </w:p>
        </w:tc>
      </w:tr>
      <w:tr w:rsidR="00BD5BB3" w14:paraId="4194CD6F" w14:textId="77777777" w:rsidTr="00BD5BB3">
        <w:tc>
          <w:tcPr>
            <w:tcW w:w="2160" w:type="dxa"/>
            <w:shd w:val="clear" w:color="auto" w:fill="DCE6F2"/>
          </w:tcPr>
          <w:p w14:paraId="0C8F5040" w14:textId="77777777" w:rsidR="00DE6982" w:rsidRDefault="00DE6982">
            <w:pPr>
              <w:jc w:val="center"/>
            </w:pPr>
            <w:r>
              <w:rPr>
                <w:sz w:val="20"/>
              </w:rPr>
              <w:t>健康险</w:t>
            </w:r>
          </w:p>
        </w:tc>
        <w:tc>
          <w:tcPr>
            <w:tcW w:w="2160" w:type="dxa"/>
            <w:shd w:val="clear" w:color="auto" w:fill="DCE6F2"/>
          </w:tcPr>
          <w:p w14:paraId="71065374" w14:textId="77777777" w:rsidR="00DE6982" w:rsidRDefault="00DE6982">
            <w:pPr>
              <w:jc w:val="center"/>
            </w:pPr>
            <w:r>
              <w:rPr>
                <w:sz w:val="20"/>
              </w:rPr>
              <w:t>2,320</w:t>
            </w:r>
          </w:p>
        </w:tc>
        <w:tc>
          <w:tcPr>
            <w:tcW w:w="2160" w:type="dxa"/>
            <w:shd w:val="clear" w:color="auto" w:fill="DCE6F2"/>
          </w:tcPr>
          <w:p w14:paraId="1ABC8FCA" w14:textId="77777777" w:rsidR="00DE6982" w:rsidRDefault="00DE6982">
            <w:pPr>
              <w:jc w:val="center"/>
            </w:pPr>
            <w:r>
              <w:rPr>
                <w:sz w:val="20"/>
              </w:rPr>
              <w:t>13.5%</w:t>
            </w:r>
          </w:p>
        </w:tc>
        <w:tc>
          <w:tcPr>
            <w:tcW w:w="2160" w:type="dxa"/>
            <w:shd w:val="clear" w:color="auto" w:fill="DCE6F2"/>
          </w:tcPr>
          <w:p w14:paraId="4EE4FB98" w14:textId="77777777" w:rsidR="00DE6982" w:rsidRDefault="00DE6982">
            <w:pPr>
              <w:jc w:val="center"/>
            </w:pPr>
            <w:r>
              <w:rPr>
                <w:sz w:val="20"/>
              </w:rPr>
              <w:t>39.6%</w:t>
            </w:r>
          </w:p>
        </w:tc>
      </w:tr>
      <w:tr w:rsidR="00BD5BB3" w14:paraId="3022712B" w14:textId="77777777" w:rsidTr="00BD5BB3">
        <w:tc>
          <w:tcPr>
            <w:tcW w:w="2160" w:type="dxa"/>
          </w:tcPr>
          <w:p w14:paraId="049A05A7" w14:textId="77777777" w:rsidR="00DE6982" w:rsidRDefault="00DE6982">
            <w:pPr>
              <w:jc w:val="center"/>
            </w:pPr>
            <w:r>
              <w:rPr>
                <w:sz w:val="20"/>
              </w:rPr>
              <w:t>意外险</w:t>
            </w:r>
          </w:p>
        </w:tc>
        <w:tc>
          <w:tcPr>
            <w:tcW w:w="2160" w:type="dxa"/>
          </w:tcPr>
          <w:p w14:paraId="23D7817B" w14:textId="77777777" w:rsidR="00DE6982" w:rsidRDefault="00DE6982">
            <w:pPr>
              <w:jc w:val="center"/>
            </w:pPr>
            <w:r>
              <w:rPr>
                <w:sz w:val="20"/>
              </w:rPr>
              <w:t>195</w:t>
            </w:r>
          </w:p>
        </w:tc>
        <w:tc>
          <w:tcPr>
            <w:tcW w:w="2160" w:type="dxa"/>
          </w:tcPr>
          <w:p w14:paraId="1D8F0CCC" w14:textId="77777777" w:rsidR="00DE6982" w:rsidRDefault="00DE6982">
            <w:pPr>
              <w:jc w:val="center"/>
            </w:pPr>
            <w:r>
              <w:rPr>
                <w:sz w:val="20"/>
              </w:rPr>
              <w:t>3.8%</w:t>
            </w:r>
          </w:p>
        </w:tc>
        <w:tc>
          <w:tcPr>
            <w:tcW w:w="2160" w:type="dxa"/>
          </w:tcPr>
          <w:p w14:paraId="13EAC208" w14:textId="77777777" w:rsidR="00DE6982" w:rsidRDefault="00DE6982">
            <w:pPr>
              <w:jc w:val="center"/>
            </w:pPr>
            <w:r>
              <w:rPr>
                <w:sz w:val="20"/>
              </w:rPr>
              <w:t>22.5%</w:t>
            </w:r>
          </w:p>
        </w:tc>
      </w:tr>
      <w:tr w:rsidR="00BD5BB3" w14:paraId="6A0DB2C6" w14:textId="77777777" w:rsidTr="00BD5BB3">
        <w:tc>
          <w:tcPr>
            <w:tcW w:w="2160" w:type="dxa"/>
            <w:shd w:val="clear" w:color="auto" w:fill="DCE6F2"/>
          </w:tcPr>
          <w:p w14:paraId="345C444E" w14:textId="77777777" w:rsidR="00DE6982" w:rsidRDefault="00DE6982">
            <w:pPr>
              <w:jc w:val="center"/>
            </w:pPr>
            <w:r>
              <w:rPr>
                <w:sz w:val="20"/>
              </w:rPr>
              <w:t>车险</w:t>
            </w:r>
          </w:p>
        </w:tc>
        <w:tc>
          <w:tcPr>
            <w:tcW w:w="2160" w:type="dxa"/>
            <w:shd w:val="clear" w:color="auto" w:fill="DCE6F2"/>
          </w:tcPr>
          <w:p w14:paraId="52B53B54" w14:textId="77777777" w:rsidR="00DE6982" w:rsidRDefault="00DE6982">
            <w:pPr>
              <w:jc w:val="center"/>
            </w:pPr>
            <w:r>
              <w:rPr>
                <w:sz w:val="20"/>
              </w:rPr>
              <w:t>1,080</w:t>
            </w:r>
          </w:p>
        </w:tc>
        <w:tc>
          <w:tcPr>
            <w:tcW w:w="2160" w:type="dxa"/>
            <w:shd w:val="clear" w:color="auto" w:fill="DCE6F2"/>
          </w:tcPr>
          <w:p w14:paraId="0DB1DAF0" w14:textId="77777777" w:rsidR="00DE6982" w:rsidRDefault="00DE6982">
            <w:pPr>
              <w:jc w:val="center"/>
            </w:pPr>
            <w:r>
              <w:rPr>
                <w:sz w:val="20"/>
              </w:rPr>
              <w:t>5.2%</w:t>
            </w:r>
          </w:p>
        </w:tc>
        <w:tc>
          <w:tcPr>
            <w:tcW w:w="2160" w:type="dxa"/>
            <w:shd w:val="clear" w:color="auto" w:fill="DCE6F2"/>
          </w:tcPr>
          <w:p w14:paraId="7B28DF5B" w14:textId="77777777" w:rsidR="00DE6982" w:rsidRDefault="00DE6982">
            <w:pPr>
              <w:jc w:val="center"/>
            </w:pPr>
            <w:r>
              <w:rPr>
                <w:sz w:val="20"/>
              </w:rPr>
              <w:t>60.8%</w:t>
            </w:r>
          </w:p>
        </w:tc>
      </w:tr>
      <w:tr w:rsidR="00BD5BB3" w14:paraId="5E9C4904" w14:textId="77777777" w:rsidTr="00BD5BB3">
        <w:tc>
          <w:tcPr>
            <w:tcW w:w="2160" w:type="dxa"/>
          </w:tcPr>
          <w:p w14:paraId="2A903491" w14:textId="77777777" w:rsidR="00DE6982" w:rsidRDefault="00DE6982">
            <w:pPr>
              <w:jc w:val="center"/>
            </w:pPr>
            <w:r>
              <w:rPr>
                <w:sz w:val="20"/>
              </w:rPr>
              <w:t>企财险</w:t>
            </w:r>
          </w:p>
        </w:tc>
        <w:tc>
          <w:tcPr>
            <w:tcW w:w="2160" w:type="dxa"/>
          </w:tcPr>
          <w:p w14:paraId="793D61F5" w14:textId="77777777" w:rsidR="00DE6982" w:rsidRDefault="00DE6982">
            <w:pPr>
              <w:jc w:val="center"/>
            </w:pPr>
            <w:r>
              <w:rPr>
                <w:sz w:val="20"/>
              </w:rPr>
              <w:t>135</w:t>
            </w:r>
          </w:p>
        </w:tc>
        <w:tc>
          <w:tcPr>
            <w:tcW w:w="2160" w:type="dxa"/>
          </w:tcPr>
          <w:p w14:paraId="42E3F88D" w14:textId="77777777" w:rsidR="00DE6982" w:rsidRDefault="00DE6982">
            <w:pPr>
              <w:jc w:val="center"/>
            </w:pPr>
            <w:r>
              <w:rPr>
                <w:sz w:val="20"/>
              </w:rPr>
              <w:t>-1.8%</w:t>
            </w:r>
          </w:p>
        </w:tc>
        <w:tc>
          <w:tcPr>
            <w:tcW w:w="2160" w:type="dxa"/>
          </w:tcPr>
          <w:p w14:paraId="3EC31F80" w14:textId="77777777" w:rsidR="00DE6982" w:rsidRDefault="00DE6982">
            <w:pPr>
              <w:jc w:val="center"/>
            </w:pPr>
            <w:r>
              <w:rPr>
                <w:sz w:val="20"/>
              </w:rPr>
              <w:t>34.2%</w:t>
            </w:r>
          </w:p>
        </w:tc>
      </w:tr>
      <w:tr w:rsidR="00BD5BB3" w14:paraId="43217E73" w14:textId="77777777" w:rsidTr="00BD5BB3">
        <w:tc>
          <w:tcPr>
            <w:tcW w:w="2160" w:type="dxa"/>
            <w:shd w:val="clear" w:color="auto" w:fill="DCE6F2"/>
          </w:tcPr>
          <w:p w14:paraId="2CA9FE4A" w14:textId="77777777" w:rsidR="00DE6982" w:rsidRDefault="00DE6982">
            <w:pPr>
              <w:jc w:val="center"/>
            </w:pPr>
            <w:r>
              <w:rPr>
                <w:sz w:val="20"/>
              </w:rPr>
              <w:t>农险</w:t>
            </w:r>
          </w:p>
        </w:tc>
        <w:tc>
          <w:tcPr>
            <w:tcW w:w="2160" w:type="dxa"/>
            <w:shd w:val="clear" w:color="auto" w:fill="DCE6F2"/>
          </w:tcPr>
          <w:p w14:paraId="108D1C93" w14:textId="77777777" w:rsidR="00DE6982" w:rsidRDefault="00DE6982">
            <w:pPr>
              <w:jc w:val="center"/>
            </w:pPr>
            <w:r>
              <w:rPr>
                <w:sz w:val="20"/>
              </w:rPr>
              <w:t>165</w:t>
            </w:r>
          </w:p>
        </w:tc>
        <w:tc>
          <w:tcPr>
            <w:tcW w:w="2160" w:type="dxa"/>
            <w:shd w:val="clear" w:color="auto" w:fill="DCE6F2"/>
          </w:tcPr>
          <w:p w14:paraId="108DF604" w14:textId="77777777" w:rsidR="00DE6982" w:rsidRDefault="00DE6982">
            <w:pPr>
              <w:jc w:val="center"/>
            </w:pPr>
            <w:r>
              <w:rPr>
                <w:sz w:val="20"/>
              </w:rPr>
              <w:t>10.1%</w:t>
            </w:r>
          </w:p>
        </w:tc>
        <w:tc>
          <w:tcPr>
            <w:tcW w:w="2160" w:type="dxa"/>
            <w:shd w:val="clear" w:color="auto" w:fill="DCE6F2"/>
          </w:tcPr>
          <w:p w14:paraId="3123BD4A" w14:textId="77777777" w:rsidR="00DE6982" w:rsidRDefault="00DE6982">
            <w:pPr>
              <w:jc w:val="center"/>
            </w:pPr>
            <w:r>
              <w:rPr>
                <w:sz w:val="20"/>
              </w:rPr>
              <w:t>43.5%</w:t>
            </w:r>
          </w:p>
        </w:tc>
      </w:tr>
    </w:tbl>
    <w:p w14:paraId="76FCCEF3" w14:textId="77777777" w:rsidR="00F459DC" w:rsidRDefault="00F459DC"/>
    <w:p w14:paraId="5B9C43ED" w14:textId="77777777" w:rsidR="00F459DC" w:rsidRDefault="00DE6982">
      <w:pPr>
        <w:spacing w:after="80" w:line="360" w:lineRule="auto"/>
        <w:ind w:firstLineChars="200" w:firstLine="480"/>
      </w:pPr>
      <w:r>
        <w:rPr>
          <w:rFonts w:ascii="STZhongsong" w:eastAsia="STZhongsong" w:hAnsi="STZhongsong"/>
          <w:color w:val="000000"/>
          <w:sz w:val="24"/>
        </w:rPr>
        <w:t>健康险赔付增速继续高于其他险种，表明业务规模扩张的同时理赔压力同步上行。车险赔付率小幅回落至</w:t>
      </w:r>
      <w:r>
        <w:rPr>
          <w:rFonts w:ascii="STZhongsong" w:eastAsia="STZhongsong" w:hAnsi="STZhongsong"/>
          <w:color w:val="000000"/>
          <w:sz w:val="24"/>
        </w:rPr>
        <w:t>60.8%</w:t>
      </w:r>
      <w:r>
        <w:rPr>
          <w:rFonts w:ascii="STZhongsong" w:eastAsia="STZhongsong" w:hAnsi="STZhongsong"/>
          <w:color w:val="000000"/>
          <w:sz w:val="24"/>
        </w:rPr>
        <w:t>，定价机制优化效果初步显现。</w:t>
      </w:r>
    </w:p>
    <w:p w14:paraId="14E6BA7C" w14:textId="77777777" w:rsidR="00F459DC" w:rsidRDefault="00DE6982">
      <w:pPr>
        <w:pStyle w:val="21"/>
        <w:spacing w:before="240" w:after="120"/>
      </w:pPr>
      <w:bookmarkStart w:id="13" w:name="_Toc236361346"/>
      <w:r>
        <w:rPr>
          <w:rFonts w:ascii="SimHei" w:eastAsia="SimHei" w:hAnsi="SimHei"/>
        </w:rPr>
        <w:t xml:space="preserve">3.2  </w:t>
      </w:r>
      <w:r>
        <w:rPr>
          <w:rFonts w:ascii="SimHei" w:eastAsia="SimHei" w:hAnsi="SimHei"/>
        </w:rPr>
        <w:t>分险种保费结构</w:t>
      </w:r>
      <w:bookmarkEnd w:id="13"/>
    </w:p>
    <w:p w14:paraId="728CE349" w14:textId="77777777" w:rsidR="00F459DC" w:rsidRDefault="00DE6982">
      <w:pPr>
        <w:spacing w:after="80" w:line="360" w:lineRule="auto"/>
        <w:ind w:firstLineChars="200" w:firstLine="560"/>
      </w:pPr>
      <w:r>
        <w:rPr>
          <w:color w:val="000000"/>
        </w:rPr>
        <w:t>本季度各险种份额延续优化趋势，健康险与养老险占比持续抬升，传统寿险份额回落，产品结构向保障型、长期型转型的方向更加清晰。</w:t>
      </w:r>
    </w:p>
    <w:p w14:paraId="21F86939" w14:textId="77777777" w:rsidR="00F459DC" w:rsidRDefault="00DE6982">
      <w:pPr>
        <w:pStyle w:val="31"/>
        <w:spacing w:before="240" w:after="120"/>
      </w:pPr>
      <w:bookmarkStart w:id="14" w:name="_Toc236361347"/>
      <w:r>
        <w:rPr>
          <w:rFonts w:ascii="SimHei" w:eastAsia="SimHei" w:hAnsi="SimHei"/>
        </w:rPr>
        <w:t xml:space="preserve">3.2.1  </w:t>
      </w:r>
      <w:r>
        <w:rPr>
          <w:rFonts w:ascii="SimHei" w:eastAsia="SimHei" w:hAnsi="SimHei"/>
        </w:rPr>
        <w:t>财产险保费分析</w:t>
      </w:r>
      <w:bookmarkEnd w:id="14"/>
    </w:p>
    <w:p w14:paraId="51E9735E" w14:textId="77777777" w:rsidR="00F459DC" w:rsidRDefault="00DE6982">
      <w:pPr>
        <w:spacing w:after="80" w:line="360" w:lineRule="auto"/>
        <w:ind w:firstLineChars="200" w:firstLine="560"/>
      </w:pPr>
      <w:r>
        <w:rPr>
          <w:rFonts w:ascii="STZhongsong" w:eastAsia="STZhongsong" w:hAnsi="STZhongsong"/>
          <w:color w:val="000000"/>
        </w:rPr>
        <w:t>财产险公司三季度实现保费收入</w:t>
      </w:r>
      <w:r>
        <w:rPr>
          <w:rFonts w:ascii="STZhongsong" w:eastAsia="STZhongsong" w:hAnsi="STZhongsong"/>
          <w:color w:val="000000"/>
        </w:rPr>
        <w:t>5,350</w:t>
      </w:r>
      <w:r>
        <w:rPr>
          <w:rFonts w:ascii="STZhongsong" w:eastAsia="STZhongsong" w:hAnsi="STZhongsong"/>
          <w:color w:val="000000"/>
        </w:rPr>
        <w:t>亿元，同比增长</w:t>
      </w:r>
      <w:r>
        <w:rPr>
          <w:rFonts w:ascii="STZhongsong" w:eastAsia="STZhongsong" w:hAnsi="STZhongsong"/>
          <w:color w:val="000000"/>
        </w:rPr>
        <w:t>6.0%</w:t>
      </w:r>
      <w:r>
        <w:rPr>
          <w:rFonts w:ascii="STZhongsong" w:eastAsia="STZhongsong" w:hAnsi="STZhongsong"/>
          <w:color w:val="000000"/>
        </w:rPr>
        <w:t>。非车险业务保持较快扩张，业务结构持续优化。</w:t>
      </w:r>
    </w:p>
    <w:p w14:paraId="03FBB7D1" w14:textId="77777777" w:rsidR="00F459DC" w:rsidRDefault="00DE6982">
      <w:pPr>
        <w:spacing w:before="120" w:after="40" w:line="360" w:lineRule="auto"/>
        <w:ind w:firstLineChars="200" w:firstLine="561"/>
      </w:pPr>
      <w:r>
        <w:rPr>
          <w:rFonts w:ascii="STZhongsong" w:eastAsia="STZhongsong" w:hAnsi="STZhongsong"/>
          <w:b/>
          <w:color w:val="000000"/>
        </w:rPr>
        <w:t>各险种经营表现</w:t>
      </w:r>
    </w:p>
    <w:p w14:paraId="6AC77828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车险保费收入</w:t>
      </w:r>
      <w:r>
        <w:rPr>
          <w:rFonts w:ascii="STZhongsong" w:eastAsia="STZhongsong" w:hAnsi="STZhongsong"/>
          <w:color w:val="000000"/>
          <w:sz w:val="21"/>
        </w:rPr>
        <w:t>3,240</w:t>
      </w:r>
      <w:r>
        <w:rPr>
          <w:rFonts w:ascii="STZhongsong" w:eastAsia="STZhongsong" w:hAnsi="STZhongsong"/>
          <w:color w:val="000000"/>
          <w:sz w:val="21"/>
        </w:rPr>
        <w:t>亿元，同比增长</w:t>
      </w:r>
      <w:r>
        <w:rPr>
          <w:rFonts w:ascii="STZhongsong" w:eastAsia="STZhongsong" w:hAnsi="STZhongsong"/>
          <w:color w:val="000000"/>
          <w:sz w:val="21"/>
        </w:rPr>
        <w:t>4.5%</w:t>
      </w:r>
      <w:r>
        <w:rPr>
          <w:rFonts w:ascii="STZhongsong" w:eastAsia="STZhongsong" w:hAnsi="STZhongsong"/>
          <w:color w:val="000000"/>
          <w:sz w:val="21"/>
        </w:rPr>
        <w:t>，份额</w:t>
      </w:r>
      <w:r>
        <w:rPr>
          <w:rFonts w:ascii="STZhongsong" w:eastAsia="STZhongsong" w:hAnsi="STZhongsong"/>
          <w:color w:val="000000"/>
          <w:sz w:val="21"/>
        </w:rPr>
        <w:t>60.5%</w:t>
      </w:r>
    </w:p>
    <w:p w14:paraId="01598F52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非车险保费收入</w:t>
      </w:r>
      <w:r>
        <w:rPr>
          <w:rFonts w:ascii="STZhongsong" w:eastAsia="STZhongsong" w:hAnsi="STZhongsong"/>
          <w:color w:val="000000"/>
          <w:sz w:val="21"/>
        </w:rPr>
        <w:t>2,110</w:t>
      </w:r>
      <w:r>
        <w:rPr>
          <w:rFonts w:ascii="STZhongsong" w:eastAsia="STZhongsong" w:hAnsi="STZhongsong"/>
          <w:color w:val="000000"/>
          <w:sz w:val="21"/>
        </w:rPr>
        <w:t>亿元，同比增长</w:t>
      </w:r>
      <w:r>
        <w:rPr>
          <w:rFonts w:ascii="STZhongsong" w:eastAsia="STZhongsong" w:hAnsi="STZhongsong"/>
          <w:color w:val="000000"/>
          <w:sz w:val="21"/>
        </w:rPr>
        <w:t>8.4%</w:t>
      </w:r>
      <w:r>
        <w:rPr>
          <w:rFonts w:ascii="STZhongsong" w:eastAsia="STZhongsong" w:hAnsi="STZhongsong"/>
          <w:color w:val="000000"/>
          <w:sz w:val="21"/>
        </w:rPr>
        <w:t>，份额</w:t>
      </w:r>
      <w:r>
        <w:rPr>
          <w:rFonts w:ascii="STZhongsong" w:eastAsia="STZhongsong" w:hAnsi="STZhongsong"/>
          <w:color w:val="000000"/>
          <w:sz w:val="21"/>
        </w:rPr>
        <w:t>39.5%</w:t>
      </w:r>
    </w:p>
    <w:p w14:paraId="63DBE8C5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责任险保费收入</w:t>
      </w:r>
      <w:r>
        <w:rPr>
          <w:rFonts w:ascii="STZhongsong" w:eastAsia="STZhongsong" w:hAnsi="STZhongsong"/>
          <w:color w:val="000000"/>
          <w:sz w:val="21"/>
        </w:rPr>
        <w:t>410</w:t>
      </w:r>
      <w:r>
        <w:rPr>
          <w:rFonts w:ascii="STZhongsong" w:eastAsia="STZhongsong" w:hAnsi="STZhongsong"/>
          <w:color w:val="000000"/>
          <w:sz w:val="21"/>
        </w:rPr>
        <w:t>亿元，同比增长</w:t>
      </w:r>
      <w:r>
        <w:rPr>
          <w:rFonts w:ascii="STZhongsong" w:eastAsia="STZhongsong" w:hAnsi="STZhongsong"/>
          <w:color w:val="000000"/>
          <w:sz w:val="21"/>
        </w:rPr>
        <w:t>13.2%</w:t>
      </w:r>
      <w:r>
        <w:rPr>
          <w:rFonts w:ascii="STZhongsong" w:eastAsia="STZhongsong" w:hAnsi="STZhongsong"/>
          <w:color w:val="000000"/>
          <w:sz w:val="21"/>
        </w:rPr>
        <w:t>，增速居各险种之首</w:t>
      </w:r>
    </w:p>
    <w:p w14:paraId="067DBF50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农险保费收入</w:t>
      </w:r>
      <w:r>
        <w:rPr>
          <w:rFonts w:ascii="STZhongsong" w:eastAsia="STZhongsong" w:hAnsi="STZhongsong"/>
          <w:color w:val="000000"/>
          <w:sz w:val="21"/>
        </w:rPr>
        <w:t>440</w:t>
      </w:r>
      <w:r>
        <w:rPr>
          <w:rFonts w:ascii="STZhongsong" w:eastAsia="STZhongsong" w:hAnsi="STZhongsong"/>
          <w:color w:val="000000"/>
          <w:sz w:val="21"/>
        </w:rPr>
        <w:t>亿元，同比增长</w:t>
      </w:r>
      <w:r>
        <w:rPr>
          <w:rFonts w:ascii="STZhongsong" w:eastAsia="STZhongsong" w:hAnsi="STZhongsong"/>
          <w:color w:val="000000"/>
          <w:sz w:val="21"/>
        </w:rPr>
        <w:t>9.1%</w:t>
      </w:r>
    </w:p>
    <w:p w14:paraId="212114AA" w14:textId="77777777" w:rsidR="00DE6982" w:rsidRPr="00FC6F26" w:rsidRDefault="00DE6982">
      <w:pPr>
        <w:jc w:val="center"/>
        <w:rPr>
          <w:rFonts w:ascii="STZhongsong" w:eastAsia="STZhongsong" w:hAnsi="STZhongsong"/>
        </w:rPr>
      </w:pPr>
      <w:r w:rsidRPr="00FC6F26">
        <w:rPr>
          <w:rFonts w:ascii="STZhongsong" w:eastAsia="STZhongsong" w:hAnsi="STZhongsong"/>
          <w:noProof/>
        </w:rPr>
        <w:lastRenderedPageBreak/>
        <w:drawing>
          <wp:inline distT="0" distB="0" distL="0" distR="0" wp14:anchorId="289B0CA4" wp14:editId="5F40BCD4">
            <wp:extent cx="4754880" cy="5006930"/>
            <wp:effectExtent l="0" t="0" r="0" b="0"/>
            <wp:docPr id="19167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财险占比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0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84DE" w14:textId="7422EF5C" w:rsidR="00F459DC" w:rsidRDefault="00DE6982">
      <w:pPr>
        <w:spacing w:before="120" w:after="120" w:line="240" w:lineRule="auto"/>
        <w:jc w:val="center"/>
      </w:pPr>
      <w:r>
        <w:rPr>
          <w:sz w:val="20"/>
        </w:rPr>
        <w:t>图</w:t>
      </w:r>
      <w:r>
        <w:rPr>
          <w:sz w:val="20"/>
        </w:rPr>
        <w:t xml:space="preserve"> </w:t>
      </w:r>
      <w:bookmarkStart w:id="15" w:name="_Ref_图_2"/>
      <w:r>
        <w:fldChar w:fldCharType="begin"/>
      </w:r>
      <w:r>
        <w:instrText>SEQ Figure \* ARABIC</w:instrText>
      </w:r>
      <w:r>
        <w:fldChar w:fldCharType="separate"/>
      </w:r>
      <w:r w:rsidR="00255E40">
        <w:rPr>
          <w:noProof/>
        </w:rPr>
        <w:t>2</w:t>
      </w:r>
      <w:r>
        <w:rPr>
          <w:sz w:val="20"/>
          <w:szCs w:val="20"/>
        </w:rPr>
        <w:fldChar w:fldCharType="end"/>
      </w:r>
      <w:bookmarkEnd w:id="15"/>
      <w:r>
        <w:rPr>
          <w:sz w:val="20"/>
        </w:rPr>
        <w:t xml:space="preserve">  2026</w:t>
      </w:r>
      <w:r>
        <w:rPr>
          <w:sz w:val="20"/>
        </w:rPr>
        <w:t>年</w:t>
      </w:r>
      <w:r>
        <w:rPr>
          <w:sz w:val="20"/>
        </w:rPr>
        <w:t>Q3</w:t>
      </w:r>
      <w:r>
        <w:rPr>
          <w:sz w:val="20"/>
        </w:rPr>
        <w:t>财产险分险种保费占比</w:t>
      </w:r>
    </w:p>
    <w:p w14:paraId="004FFA97" w14:textId="77777777" w:rsidR="00F459DC" w:rsidRDefault="00DE6982">
      <w:pPr>
        <w:spacing w:before="120" w:after="40" w:line="360" w:lineRule="auto"/>
        <w:ind w:firstLineChars="200" w:firstLine="561"/>
      </w:pPr>
      <w:r>
        <w:rPr>
          <w:rFonts w:ascii="STZhongsong" w:eastAsia="STZhongsong" w:hAnsi="STZhongsong"/>
          <w:b/>
          <w:color w:val="000000"/>
        </w:rPr>
        <w:t>车险市场观察</w:t>
      </w:r>
    </w:p>
    <w:p w14:paraId="174D2057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车均保费小幅降至</w:t>
      </w:r>
      <w:r>
        <w:rPr>
          <w:rFonts w:ascii="STZhongsong" w:eastAsia="STZhongsong" w:hAnsi="STZhongsong"/>
          <w:color w:val="000000"/>
          <w:sz w:val="21"/>
        </w:rPr>
        <w:t>1,820</w:t>
      </w:r>
      <w:r>
        <w:rPr>
          <w:rFonts w:ascii="STZhongsong" w:eastAsia="STZhongsong" w:hAnsi="STZhongsong"/>
          <w:color w:val="000000"/>
          <w:sz w:val="21"/>
        </w:rPr>
        <w:t>元，同比下降</w:t>
      </w:r>
      <w:r>
        <w:rPr>
          <w:rFonts w:ascii="STZhongsong" w:eastAsia="STZhongsong" w:hAnsi="STZhongsong"/>
          <w:color w:val="000000"/>
          <w:sz w:val="21"/>
        </w:rPr>
        <w:t>1.5%</w:t>
      </w:r>
    </w:p>
    <w:p w14:paraId="04DE66E7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新能源车险保费收入</w:t>
      </w:r>
      <w:r>
        <w:rPr>
          <w:rFonts w:ascii="STZhongsong" w:eastAsia="STZhongsong" w:hAnsi="STZhongsong"/>
          <w:color w:val="000000"/>
          <w:sz w:val="21"/>
        </w:rPr>
        <w:t>380</w:t>
      </w:r>
      <w:r>
        <w:rPr>
          <w:rFonts w:ascii="STZhongsong" w:eastAsia="STZhongsong" w:hAnsi="STZhongsong"/>
          <w:color w:val="000000"/>
          <w:sz w:val="21"/>
        </w:rPr>
        <w:t>亿元，同比增长</w:t>
      </w:r>
      <w:r>
        <w:rPr>
          <w:rFonts w:ascii="STZhongsong" w:eastAsia="STZhongsong" w:hAnsi="STZhongsong"/>
          <w:color w:val="000000"/>
          <w:sz w:val="21"/>
        </w:rPr>
        <w:t>52%</w:t>
      </w:r>
      <w:r>
        <w:rPr>
          <w:rFonts w:ascii="STZhongsong" w:eastAsia="STZhongsong" w:hAnsi="STZhongsong"/>
          <w:color w:val="000000"/>
          <w:sz w:val="21"/>
        </w:rPr>
        <w:t>，成为关键增长极</w:t>
      </w:r>
    </w:p>
    <w:p w14:paraId="631E5DBA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车险自主定价系数浮动区间进一步拓宽，差异化定价能力提升</w:t>
      </w:r>
    </w:p>
    <w:p w14:paraId="1EFE823E" w14:textId="77777777" w:rsidR="00F459DC" w:rsidRDefault="00DE6982">
      <w:pPr>
        <w:spacing w:after="80" w:line="360" w:lineRule="auto"/>
        <w:ind w:firstLineChars="200" w:firstLine="560"/>
      </w:pPr>
      <w:r>
        <w:rPr>
          <w:rFonts w:ascii="STZhongsong" w:eastAsia="STZhongsong" w:hAnsi="STZhongsong"/>
          <w:color w:val="000000"/>
        </w:rPr>
        <w:t>非车险业务的快速扩张有效对冲了车险增速放缓的影响，财险公司业务结构持续优化，非车份额创近年新高。</w:t>
      </w:r>
    </w:p>
    <w:p w14:paraId="24D75021" w14:textId="77777777" w:rsidR="00F459DC" w:rsidRDefault="00DE6982">
      <w:pPr>
        <w:pStyle w:val="21"/>
        <w:spacing w:before="240" w:after="120"/>
      </w:pPr>
      <w:bookmarkStart w:id="16" w:name="_Toc236361348"/>
      <w:r>
        <w:rPr>
          <w:rFonts w:ascii="SimHei" w:eastAsia="SimHei" w:hAnsi="SimHei"/>
        </w:rPr>
        <w:t xml:space="preserve">3.3  </w:t>
      </w:r>
      <w:r>
        <w:rPr>
          <w:rFonts w:ascii="SimHei" w:eastAsia="SimHei" w:hAnsi="SimHei"/>
        </w:rPr>
        <w:t>中小险企市场份额</w:t>
      </w:r>
      <w:bookmarkEnd w:id="16"/>
    </w:p>
    <w:p w14:paraId="7329C007" w14:textId="77777777" w:rsidR="00F459DC" w:rsidRDefault="00DE6982">
      <w:pPr>
        <w:spacing w:after="80" w:line="360" w:lineRule="auto"/>
        <w:ind w:firstLineChars="200" w:firstLine="560"/>
      </w:pPr>
      <w:r>
        <w:rPr>
          <w:color w:val="000000"/>
        </w:rPr>
        <w:t>行业集中度方面，头部险企份额延续小幅回落态势，中小险企在细分赛道的差异化竞争力进一步增强。</w:t>
      </w:r>
    </w:p>
    <w:p w14:paraId="23B8B5AB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lastRenderedPageBreak/>
        <w:t>集中度变化</w:t>
      </w:r>
    </w:p>
    <w:p w14:paraId="001E34F8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CR5</w:t>
      </w:r>
      <w:r>
        <w:rPr>
          <w:color w:val="000000"/>
          <w:sz w:val="21"/>
        </w:rPr>
        <w:t>（前五大险企）市场份额</w:t>
      </w:r>
      <w:r>
        <w:rPr>
          <w:color w:val="000000"/>
          <w:sz w:val="21"/>
        </w:rPr>
        <w:t>51.8%</w:t>
      </w:r>
      <w:r>
        <w:rPr>
          <w:color w:val="000000"/>
          <w:sz w:val="21"/>
        </w:rPr>
        <w:t>，较去年同期收窄</w:t>
      </w:r>
      <w:r>
        <w:rPr>
          <w:color w:val="000000"/>
          <w:sz w:val="21"/>
        </w:rPr>
        <w:t>1.0</w:t>
      </w:r>
      <w:r>
        <w:rPr>
          <w:color w:val="000000"/>
          <w:sz w:val="21"/>
        </w:rPr>
        <w:t>个百分点</w:t>
      </w:r>
    </w:p>
    <w:p w14:paraId="21E2CB63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CR10</w:t>
      </w:r>
      <w:r>
        <w:rPr>
          <w:color w:val="000000"/>
          <w:sz w:val="21"/>
        </w:rPr>
        <w:t>市场份额</w:t>
      </w:r>
      <w:r>
        <w:rPr>
          <w:color w:val="000000"/>
          <w:sz w:val="21"/>
        </w:rPr>
        <w:t>67.9%</w:t>
      </w:r>
      <w:r>
        <w:rPr>
          <w:color w:val="000000"/>
          <w:sz w:val="21"/>
        </w:rPr>
        <w:t>，较去年同期收窄</w:t>
      </w:r>
      <w:r>
        <w:rPr>
          <w:color w:val="000000"/>
          <w:sz w:val="21"/>
        </w:rPr>
        <w:t>0.8</w:t>
      </w:r>
      <w:r>
        <w:rPr>
          <w:color w:val="000000"/>
          <w:sz w:val="21"/>
        </w:rPr>
        <w:t>个百分点</w:t>
      </w:r>
    </w:p>
    <w:p w14:paraId="14A15EC6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中小险企在健康险、农险、责任险等细分领域的份额持续抬升</w:t>
      </w:r>
    </w:p>
    <w:p w14:paraId="0DBD9093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中小险企突围路径</w:t>
      </w:r>
    </w:p>
    <w:p w14:paraId="3C60052F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锚定区域市场，深耕特定客群与细分场景</w:t>
      </w:r>
    </w:p>
    <w:p w14:paraId="4AB3B53D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依托科技赋能，运营效率持续改善</w:t>
      </w:r>
    </w:p>
    <w:p w14:paraId="6B3CC4D7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深化与互联网平台合作，拓宽获客通道</w:t>
      </w:r>
    </w:p>
    <w:p w14:paraId="15586A96" w14:textId="77777777" w:rsidR="00F459DC" w:rsidRDefault="00DE6982">
      <w:pPr>
        <w:pStyle w:val="21"/>
        <w:spacing w:before="240" w:after="120"/>
      </w:pPr>
      <w:bookmarkStart w:id="17" w:name="_Toc236361349"/>
      <w:r>
        <w:rPr>
          <w:rFonts w:ascii="SimHei" w:eastAsia="SimHei" w:hAnsi="SimHei"/>
        </w:rPr>
        <w:t xml:space="preserve">4.1  </w:t>
      </w:r>
      <w:r>
        <w:rPr>
          <w:rFonts w:ascii="SimHei" w:eastAsia="SimHei" w:hAnsi="SimHei"/>
        </w:rPr>
        <w:t>传统保险产品创新</w:t>
      </w:r>
      <w:bookmarkEnd w:id="17"/>
    </w:p>
    <w:p w14:paraId="7BFDC758" w14:textId="77777777" w:rsidR="00F459DC" w:rsidRDefault="00DE6982">
      <w:pPr>
        <w:spacing w:after="80" w:line="360" w:lineRule="auto"/>
        <w:ind w:firstLineChars="200" w:firstLine="480"/>
      </w:pPr>
      <w:r>
        <w:rPr>
          <w:rFonts w:ascii="STZhongsong" w:eastAsia="STZhongsong" w:hAnsi="STZhongsong"/>
          <w:color w:val="000000"/>
          <w:sz w:val="24"/>
        </w:rPr>
        <w:t>传统保险产品在本季度延续「保障</w:t>
      </w:r>
      <w:r>
        <w:rPr>
          <w:rFonts w:ascii="STZhongsong" w:eastAsia="STZhongsong" w:hAnsi="STZhongsong"/>
          <w:color w:val="000000"/>
          <w:sz w:val="24"/>
        </w:rPr>
        <w:t>+</w:t>
      </w:r>
      <w:r>
        <w:rPr>
          <w:rFonts w:ascii="STZhongsong" w:eastAsia="STZhongsong" w:hAnsi="STZhongsong"/>
          <w:color w:val="000000"/>
          <w:sz w:val="24"/>
        </w:rPr>
        <w:t>服务」融合创新主线，产品形态从单一财务补偿向综合服务方案加速演进。</w:t>
      </w:r>
    </w:p>
    <w:p w14:paraId="51D5666A" w14:textId="77777777" w:rsidR="00F459DC" w:rsidRDefault="00DE6982">
      <w:pPr>
        <w:spacing w:before="120" w:after="40" w:line="360" w:lineRule="auto"/>
        <w:ind w:firstLineChars="200" w:firstLine="480"/>
      </w:pPr>
      <w:r>
        <w:rPr>
          <w:rFonts w:ascii="STZhongsong" w:eastAsia="STZhongsong" w:hAnsi="STZhongsong"/>
          <w:b/>
          <w:color w:val="000000"/>
          <w:sz w:val="24"/>
        </w:rPr>
        <w:t>寿险产品迭代</w:t>
      </w:r>
    </w:p>
    <w:p w14:paraId="02C6DCA2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4"/>
        </w:rPr>
        <w:t>重疾险引入「分层赔付</w:t>
      </w:r>
      <w:r>
        <w:rPr>
          <w:rFonts w:ascii="STZhongsong" w:eastAsia="STZhongsong" w:hAnsi="STZhongsong"/>
          <w:color w:val="000000"/>
          <w:sz w:val="24"/>
        </w:rPr>
        <w:t>+</w:t>
      </w:r>
      <w:r>
        <w:rPr>
          <w:rFonts w:ascii="STZhongsong" w:eastAsia="STZhongsong" w:hAnsi="STZhongsong"/>
          <w:color w:val="000000"/>
          <w:sz w:val="24"/>
        </w:rPr>
        <w:t>健康管理」机制，轻症中症重症阶梯式给付</w:t>
      </w:r>
    </w:p>
    <w:p w14:paraId="220AEA73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4"/>
        </w:rPr>
        <w:t>定期寿险接入可穿戴设备，提供动态费率优惠</w:t>
      </w:r>
    </w:p>
    <w:p w14:paraId="17D10F14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4"/>
        </w:rPr>
        <w:t>年金险增加万能账户灵活配置及年金转换功能</w:t>
      </w:r>
    </w:p>
    <w:p w14:paraId="4A3C3FD1" w14:textId="77777777" w:rsidR="00F459DC" w:rsidRDefault="00DE6982">
      <w:pPr>
        <w:spacing w:before="120" w:after="40" w:line="360" w:lineRule="auto"/>
        <w:ind w:firstLineChars="200" w:firstLine="480"/>
      </w:pPr>
      <w:r>
        <w:rPr>
          <w:rFonts w:ascii="STZhongsong" w:eastAsia="STZhongsong" w:hAnsi="STZhongsong"/>
          <w:b/>
          <w:color w:val="000000"/>
          <w:sz w:val="24"/>
        </w:rPr>
        <w:t>健康险产品动向</w:t>
      </w:r>
    </w:p>
    <w:p w14:paraId="04690EB2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4"/>
        </w:rPr>
        <w:t>百万医疗险扩充特药保障与前沿疗法覆盖范围</w:t>
      </w:r>
    </w:p>
    <w:p w14:paraId="4D656701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4"/>
        </w:rPr>
        <w:t>长期护理险试点扩至</w:t>
      </w:r>
      <w:r>
        <w:rPr>
          <w:rFonts w:ascii="STZhongsong" w:eastAsia="STZhongsong" w:hAnsi="STZhongsong"/>
          <w:color w:val="000000"/>
          <w:sz w:val="24"/>
        </w:rPr>
        <w:t>35</w:t>
      </w:r>
      <w:r>
        <w:rPr>
          <w:rFonts w:ascii="STZhongsong" w:eastAsia="STZhongsong" w:hAnsi="STZhongsong"/>
          <w:color w:val="000000"/>
          <w:sz w:val="24"/>
        </w:rPr>
        <w:t>个城市，服务给付模式探索推进</w:t>
      </w:r>
    </w:p>
    <w:p w14:paraId="462D6EE0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4"/>
        </w:rPr>
        <w:t>城市定制惠民保进入精细化运营阶段，续保率稳步提升</w:t>
      </w:r>
    </w:p>
    <w:p w14:paraId="58035539" w14:textId="77777777" w:rsidR="00F459DC" w:rsidRDefault="00DE6982">
      <w:pPr>
        <w:spacing w:before="120" w:after="40" w:line="360" w:lineRule="auto"/>
        <w:ind w:firstLineChars="200" w:firstLine="480"/>
      </w:pPr>
      <w:r>
        <w:rPr>
          <w:rFonts w:ascii="STZhongsong" w:eastAsia="STZhongsong" w:hAnsi="STZhongsong"/>
          <w:b/>
          <w:color w:val="000000"/>
          <w:sz w:val="24"/>
        </w:rPr>
        <w:t>创新亮点</w:t>
      </w:r>
    </w:p>
    <w:p w14:paraId="12E96159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4"/>
        </w:rPr>
        <w:t>「保险</w:t>
      </w:r>
      <w:r>
        <w:rPr>
          <w:rFonts w:ascii="STZhongsong" w:eastAsia="STZhongsong" w:hAnsi="STZhongsong"/>
          <w:color w:val="000000"/>
          <w:sz w:val="24"/>
        </w:rPr>
        <w:t>+</w:t>
      </w:r>
      <w:r>
        <w:rPr>
          <w:rFonts w:ascii="STZhongsong" w:eastAsia="STZhongsong" w:hAnsi="STZhongsong"/>
          <w:color w:val="000000"/>
          <w:sz w:val="24"/>
        </w:rPr>
        <w:t>健康管理」模式深化，超</w:t>
      </w:r>
      <w:r>
        <w:rPr>
          <w:rFonts w:ascii="STZhongsong" w:eastAsia="STZhongsong" w:hAnsi="STZhongsong"/>
          <w:color w:val="000000"/>
          <w:sz w:val="24"/>
        </w:rPr>
        <w:t>65%</w:t>
      </w:r>
      <w:r>
        <w:rPr>
          <w:rFonts w:ascii="STZhongsong" w:eastAsia="STZhongsong" w:hAnsi="STZhongsong"/>
          <w:color w:val="000000"/>
          <w:sz w:val="24"/>
        </w:rPr>
        <w:t>的新单健康险绑定健康管理服务</w:t>
      </w:r>
    </w:p>
    <w:p w14:paraId="1E484D8E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4"/>
        </w:rPr>
        <w:t>分红型产品吸引力持续增强，多家公司推出分红型增额终身寿险新品</w:t>
      </w:r>
    </w:p>
    <w:p w14:paraId="56D3F93B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产品定价精细化程度提升，大数据精准定价能力成为核心竞争力</w:t>
      </w:r>
    </w:p>
    <w:p w14:paraId="1D0D3290" w14:textId="77777777" w:rsidR="00F459DC" w:rsidRDefault="00DE6982">
      <w:pPr>
        <w:pStyle w:val="21"/>
        <w:spacing w:before="240" w:after="120"/>
      </w:pPr>
      <w:bookmarkStart w:id="18" w:name="_Toc236361350"/>
      <w:r>
        <w:rPr>
          <w:rFonts w:ascii="SimHei" w:eastAsia="SimHei" w:hAnsi="SimHei"/>
        </w:rPr>
        <w:lastRenderedPageBreak/>
        <w:t xml:space="preserve">4.2  </w:t>
      </w:r>
      <w:r>
        <w:rPr>
          <w:rFonts w:ascii="SimHei" w:eastAsia="SimHei" w:hAnsi="SimHei"/>
        </w:rPr>
        <w:t>新兴保险产品发展</w:t>
      </w:r>
      <w:bookmarkEnd w:id="18"/>
    </w:p>
    <w:p w14:paraId="1E5987E5" w14:textId="77777777" w:rsidR="00F459DC" w:rsidRDefault="00DE6982">
      <w:pPr>
        <w:spacing w:after="80" w:line="360" w:lineRule="auto"/>
        <w:ind w:firstLineChars="200" w:firstLine="560"/>
      </w:pPr>
      <w:r>
        <w:rPr>
          <w:color w:val="000000"/>
        </w:rPr>
        <w:t>数字化转型持续催生新兴保险产品，场景化、碎片化、定制化特征凸显，构成行业增长的新动能。</w:t>
      </w:r>
    </w:p>
    <w:p w14:paraId="6BBF1DE7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互联网保险产品</w:t>
      </w:r>
    </w:p>
    <w:p w14:paraId="1DEB0C39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场景化保险覆盖电商、出行、社交等</w:t>
      </w:r>
      <w:r>
        <w:rPr>
          <w:color w:val="000000"/>
          <w:sz w:val="21"/>
        </w:rPr>
        <w:t>220</w:t>
      </w:r>
      <w:r>
        <w:rPr>
          <w:color w:val="000000"/>
          <w:sz w:val="21"/>
        </w:rPr>
        <w:t>余个细分场景</w:t>
      </w:r>
    </w:p>
    <w:p w14:paraId="5D40B05C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按需保险快速增长，</w:t>
      </w:r>
      <w:r>
        <w:rPr>
          <w:color w:val="000000"/>
          <w:sz w:val="21"/>
        </w:rPr>
        <w:t>UBI</w:t>
      </w:r>
      <w:r>
        <w:rPr>
          <w:color w:val="000000"/>
          <w:sz w:val="21"/>
        </w:rPr>
        <w:t>车险试点城市扩至</w:t>
      </w:r>
      <w:r>
        <w:rPr>
          <w:color w:val="000000"/>
          <w:sz w:val="21"/>
        </w:rPr>
        <w:t>20</w:t>
      </w:r>
      <w:r>
        <w:rPr>
          <w:color w:val="000000"/>
          <w:sz w:val="21"/>
        </w:rPr>
        <w:t>个</w:t>
      </w:r>
    </w:p>
    <w:p w14:paraId="15BAA878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宠物保险、齿科保险等垂直品类持续受到年轻客群追捧</w:t>
      </w:r>
    </w:p>
    <w:p w14:paraId="34DDBE6A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科技保险产品</w:t>
      </w:r>
    </w:p>
    <w:p w14:paraId="39DEB28A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网络安全保险保费收入突破</w:t>
      </w:r>
      <w:r>
        <w:rPr>
          <w:color w:val="000000"/>
          <w:sz w:val="21"/>
        </w:rPr>
        <w:t>22</w:t>
      </w:r>
      <w:r>
        <w:rPr>
          <w:color w:val="000000"/>
          <w:sz w:val="21"/>
        </w:rPr>
        <w:t>亿元，同比激增</w:t>
      </w:r>
      <w:r>
        <w:rPr>
          <w:color w:val="000000"/>
          <w:sz w:val="21"/>
        </w:rPr>
        <w:t>90%</w:t>
      </w:r>
    </w:p>
    <w:p w14:paraId="2F741D4B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知识产权保险覆盖范围扩至</w:t>
      </w:r>
      <w:r>
        <w:rPr>
          <w:color w:val="000000"/>
          <w:sz w:val="21"/>
        </w:rPr>
        <w:t>25</w:t>
      </w:r>
      <w:r>
        <w:rPr>
          <w:color w:val="000000"/>
          <w:sz w:val="21"/>
        </w:rPr>
        <w:t>个省级行政区</w:t>
      </w:r>
    </w:p>
    <w:p w14:paraId="149492D3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绿色保险产品体系持续完善，碳交易、新能源、环保领域产品矩阵丰富</w:t>
      </w:r>
    </w:p>
    <w:p w14:paraId="22D1748F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创新方向</w:t>
      </w:r>
    </w:p>
    <w:p w14:paraId="58714580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AI</w:t>
      </w:r>
      <w:r>
        <w:rPr>
          <w:color w:val="000000"/>
          <w:sz w:val="21"/>
        </w:rPr>
        <w:t>驱动的动态定价产品应用范围由车险向健康险延伸</w:t>
      </w:r>
    </w:p>
    <w:p w14:paraId="0C841825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区块链技术在再保险与理赔场景实现规模化应用</w:t>
      </w:r>
    </w:p>
    <w:p w14:paraId="429EF259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保险与科技企业的生态协同模式已成主流路径</w:t>
      </w:r>
    </w:p>
    <w:p w14:paraId="66C40EEE" w14:textId="77777777" w:rsidR="00F459DC" w:rsidRDefault="00DE6982">
      <w:pPr>
        <w:pStyle w:val="21"/>
        <w:spacing w:before="240" w:after="120"/>
      </w:pPr>
      <w:bookmarkStart w:id="19" w:name="_Toc236361351"/>
      <w:r>
        <w:rPr>
          <w:rFonts w:ascii="SimHei" w:eastAsia="SimHei" w:hAnsi="SimHei"/>
        </w:rPr>
        <w:t xml:space="preserve">4.3  </w:t>
      </w:r>
      <w:r>
        <w:rPr>
          <w:rFonts w:ascii="SimHei" w:eastAsia="SimHei" w:hAnsi="SimHei"/>
        </w:rPr>
        <w:t>产品定价策略变化</w:t>
      </w:r>
      <w:bookmarkEnd w:id="19"/>
    </w:p>
    <w:p w14:paraId="0A7DAF0F" w14:textId="77777777" w:rsidR="00F459DC" w:rsidRDefault="00DE6982">
      <w:pPr>
        <w:spacing w:after="80" w:line="360" w:lineRule="auto"/>
        <w:ind w:firstLineChars="200" w:firstLine="560"/>
      </w:pPr>
      <w:r>
        <w:rPr>
          <w:rFonts w:ascii="STZhongsong" w:eastAsia="STZhongsong" w:hAnsi="STZhongsong"/>
          <w:color w:val="000000"/>
        </w:rPr>
        <w:t>低利率环境下，各公司定价策略持续调整，定价机制从粗放统一定价向精细化、动态化、差异化定价加速演进。</w:t>
      </w:r>
    </w:p>
    <w:p w14:paraId="12B189D3" w14:textId="77777777" w:rsidR="00F459DC" w:rsidRDefault="00DE6982">
      <w:pPr>
        <w:spacing w:before="120" w:after="40" w:line="360" w:lineRule="auto"/>
        <w:ind w:firstLineChars="200" w:firstLine="561"/>
      </w:pPr>
      <w:r>
        <w:rPr>
          <w:rFonts w:ascii="STZhongsong" w:eastAsia="STZhongsong" w:hAnsi="STZhongsong"/>
          <w:b/>
          <w:color w:val="000000"/>
        </w:rPr>
        <w:t>定价利率监管动态</w:t>
      </w:r>
    </w:p>
    <w:p w14:paraId="4001200B" w14:textId="77777777" w:rsidR="00F459DC" w:rsidRDefault="00DE6982">
      <w:pPr>
        <w:pStyle w:val="a0"/>
        <w:spacing w:after="20" w:line="360" w:lineRule="auto"/>
      </w:pPr>
      <w:r>
        <w:rPr>
          <w:rFonts w:ascii="STZhongsong" w:eastAsia="STZhongsong" w:hAnsi="STZhongsong"/>
          <w:color w:val="000000"/>
          <w:sz w:val="21"/>
        </w:rPr>
        <w:t>传统寿险定价利率上限保持在</w:t>
      </w:r>
      <w:r>
        <w:rPr>
          <w:rFonts w:ascii="STZhongsong" w:eastAsia="STZhongsong" w:hAnsi="STZhongsong"/>
          <w:color w:val="000000"/>
          <w:sz w:val="21"/>
        </w:rPr>
        <w:t>2.5%</w:t>
      </w:r>
      <w:r>
        <w:rPr>
          <w:rFonts w:ascii="STZhongsong" w:eastAsia="STZhongsong" w:hAnsi="STZhongsong"/>
          <w:color w:val="000000"/>
          <w:sz w:val="21"/>
        </w:rPr>
        <w:t>水平</w:t>
      </w:r>
    </w:p>
    <w:p w14:paraId="06372F46" w14:textId="77777777" w:rsidR="00F459DC" w:rsidRDefault="00DE6982">
      <w:pPr>
        <w:pStyle w:val="a0"/>
        <w:spacing w:after="20" w:line="360" w:lineRule="auto"/>
      </w:pPr>
      <w:r>
        <w:rPr>
          <w:rFonts w:ascii="STZhongsong" w:eastAsia="STZhongsong" w:hAnsi="STZhongsong"/>
          <w:color w:val="000000"/>
          <w:sz w:val="21"/>
        </w:rPr>
        <w:t>分红险演示利率上限维持</w:t>
      </w:r>
      <w:r>
        <w:rPr>
          <w:rFonts w:ascii="STZhongsong" w:eastAsia="STZhongsong" w:hAnsi="STZhongsong"/>
          <w:color w:val="000000"/>
          <w:sz w:val="21"/>
        </w:rPr>
        <w:t>4.0%</w:t>
      </w:r>
      <w:r>
        <w:rPr>
          <w:rFonts w:ascii="STZhongsong" w:eastAsia="STZhongsong" w:hAnsi="STZhongsong"/>
          <w:color w:val="000000"/>
          <w:sz w:val="21"/>
        </w:rPr>
        <w:t>，实际派发红利水平有所上浮</w:t>
      </w:r>
    </w:p>
    <w:p w14:paraId="0E1D4BC7" w14:textId="77777777" w:rsidR="00F459DC" w:rsidRDefault="00DE6982">
      <w:pPr>
        <w:pStyle w:val="a0"/>
        <w:spacing w:after="20" w:line="360" w:lineRule="auto"/>
      </w:pPr>
      <w:r>
        <w:rPr>
          <w:rFonts w:ascii="STZhongsong" w:eastAsia="STZhongsong" w:hAnsi="STZhongsong"/>
          <w:color w:val="000000"/>
          <w:sz w:val="21"/>
        </w:rPr>
        <w:t>万能险最低保证利率上限维持</w:t>
      </w:r>
      <w:r>
        <w:rPr>
          <w:rFonts w:ascii="STZhongsong" w:eastAsia="STZhongsong" w:hAnsi="STZhongsong"/>
          <w:color w:val="000000"/>
          <w:sz w:val="21"/>
        </w:rPr>
        <w:t>1.75%</w:t>
      </w:r>
    </w:p>
    <w:p w14:paraId="14F0BF60" w14:textId="77777777" w:rsidR="00F459DC" w:rsidRDefault="00DE6982">
      <w:pPr>
        <w:spacing w:before="120" w:after="40" w:line="360" w:lineRule="auto"/>
        <w:ind w:firstLineChars="200" w:firstLine="561"/>
      </w:pPr>
      <w:r>
        <w:rPr>
          <w:rFonts w:ascii="STZhongsong" w:eastAsia="STZhongsong" w:hAnsi="STZhongsong"/>
          <w:b/>
          <w:color w:val="000000"/>
        </w:rPr>
        <w:t>定价技术升级</w:t>
      </w:r>
    </w:p>
    <w:p w14:paraId="72EA948C" w14:textId="77777777" w:rsidR="00F459DC" w:rsidRDefault="00DE6982">
      <w:pPr>
        <w:pStyle w:val="a0"/>
        <w:spacing w:after="20" w:line="360" w:lineRule="auto"/>
      </w:pPr>
      <w:r>
        <w:rPr>
          <w:rFonts w:ascii="STZhongsong" w:eastAsia="STZhongsong" w:hAnsi="STZhongsong"/>
          <w:color w:val="000000"/>
          <w:sz w:val="21"/>
        </w:rPr>
        <w:t>大数据精算模型应用广度持续拓展，定价颗粒度进一步细化</w:t>
      </w:r>
    </w:p>
    <w:p w14:paraId="2C51B46C" w14:textId="77777777" w:rsidR="00F459DC" w:rsidRDefault="00DE6982">
      <w:pPr>
        <w:pStyle w:val="a0"/>
        <w:spacing w:after="20" w:line="360" w:lineRule="auto"/>
      </w:pPr>
      <w:r>
        <w:rPr>
          <w:rFonts w:ascii="STZhongsong" w:eastAsia="STZhongsong" w:hAnsi="STZhongsong"/>
          <w:color w:val="000000"/>
          <w:sz w:val="21"/>
        </w:rPr>
        <w:t>动态定价试点范围由车险向健康险、意外险领域延伸</w:t>
      </w:r>
    </w:p>
    <w:p w14:paraId="55836CEC" w14:textId="77777777" w:rsidR="00F459DC" w:rsidRDefault="00DE6982">
      <w:pPr>
        <w:pStyle w:val="a0"/>
        <w:spacing w:after="20" w:line="360" w:lineRule="auto"/>
      </w:pPr>
      <w:r>
        <w:rPr>
          <w:rFonts w:ascii="STZhongsong" w:eastAsia="STZhongsong" w:hAnsi="STZhongsong"/>
          <w:color w:val="000000"/>
          <w:sz w:val="21"/>
        </w:rPr>
        <w:lastRenderedPageBreak/>
        <w:t>基于行为数据的定价（</w:t>
      </w:r>
      <w:r>
        <w:rPr>
          <w:rFonts w:ascii="STZhongsong" w:eastAsia="STZhongsong" w:hAnsi="STZhongsong"/>
          <w:color w:val="000000"/>
          <w:sz w:val="21"/>
        </w:rPr>
        <w:t>BPAI</w:t>
      </w:r>
      <w:r>
        <w:rPr>
          <w:rFonts w:ascii="STZhongsong" w:eastAsia="STZhongsong" w:hAnsi="STZhongsong"/>
          <w:color w:val="000000"/>
          <w:sz w:val="21"/>
        </w:rPr>
        <w:t>）在部分产品中扩大试运行范围</w:t>
      </w:r>
    </w:p>
    <w:p w14:paraId="2DF683D6" w14:textId="77777777" w:rsidR="00F459DC" w:rsidRDefault="00DE6982">
      <w:pPr>
        <w:pStyle w:val="21"/>
        <w:spacing w:before="240" w:after="120"/>
      </w:pPr>
      <w:bookmarkStart w:id="20" w:name="_Toc236361352"/>
      <w:r>
        <w:rPr>
          <w:rFonts w:ascii="SimHei" w:eastAsia="SimHei" w:hAnsi="SimHei"/>
        </w:rPr>
        <w:t xml:space="preserve">4.4  </w:t>
      </w:r>
      <w:r>
        <w:rPr>
          <w:rFonts w:ascii="SimHei" w:eastAsia="SimHei" w:hAnsi="SimHei"/>
        </w:rPr>
        <w:t>再保险市场动态</w:t>
      </w:r>
      <w:bookmarkEnd w:id="20"/>
    </w:p>
    <w:p w14:paraId="652C6402" w14:textId="77777777" w:rsidR="00F459DC" w:rsidRDefault="00DE6982">
      <w:pPr>
        <w:spacing w:after="80" w:line="360" w:lineRule="auto"/>
        <w:ind w:firstLineChars="200" w:firstLine="560"/>
      </w:pPr>
      <w:r>
        <w:rPr>
          <w:color w:val="000000"/>
        </w:rPr>
        <w:t>本季度再保险市场运行平稳，分保需求稳步释放，创新风险转移工具应用范围持续扩大。</w:t>
      </w:r>
    </w:p>
    <w:p w14:paraId="73059490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市场运行概况</w:t>
      </w:r>
    </w:p>
    <w:p w14:paraId="38215179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分出保费规模约</w:t>
      </w:r>
      <w:r>
        <w:rPr>
          <w:color w:val="000000"/>
          <w:sz w:val="21"/>
        </w:rPr>
        <w:t>1,320</w:t>
      </w:r>
      <w:r>
        <w:rPr>
          <w:color w:val="000000"/>
          <w:sz w:val="21"/>
        </w:rPr>
        <w:t>亿元，同比扩张</w:t>
      </w:r>
      <w:r>
        <w:rPr>
          <w:color w:val="000000"/>
          <w:sz w:val="21"/>
        </w:rPr>
        <w:t>5.2%</w:t>
      </w:r>
    </w:p>
    <w:p w14:paraId="713F5DDB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再保险交易对手集中度进一步走低，多元化格局更加明显</w:t>
      </w:r>
    </w:p>
    <w:p w14:paraId="27007EAA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巨灾再保险安排覆盖面持续拓宽</w:t>
      </w:r>
    </w:p>
    <w:p w14:paraId="59080D02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创新与挑战并存</w:t>
      </w:r>
    </w:p>
    <w:p w14:paraId="24E7E9FC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巨灾债券发行规模同比扩张</w:t>
      </w:r>
      <w:r>
        <w:rPr>
          <w:color w:val="000000"/>
          <w:sz w:val="21"/>
        </w:rPr>
        <w:t>35%</w:t>
      </w:r>
      <w:r>
        <w:rPr>
          <w:color w:val="000000"/>
          <w:sz w:val="21"/>
        </w:rPr>
        <w:t>，风险分散渠道拓宽</w:t>
      </w:r>
    </w:p>
    <w:p w14:paraId="70081D5E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再保险数字化交易平台建设取得阶段性突破</w:t>
      </w:r>
    </w:p>
    <w:p w14:paraId="025BA187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极端天气事件增多对巨灾风险管理体系构成新考验</w:t>
      </w:r>
    </w:p>
    <w:p w14:paraId="10506D9F" w14:textId="77777777" w:rsidR="00F459DC" w:rsidRDefault="00DE6982">
      <w:pPr>
        <w:pStyle w:val="21"/>
        <w:spacing w:before="240" w:after="120"/>
      </w:pPr>
      <w:bookmarkStart w:id="21" w:name="_Toc236361353"/>
      <w:r>
        <w:rPr>
          <w:rFonts w:ascii="SimHei" w:eastAsia="SimHei" w:hAnsi="SimHei"/>
        </w:rPr>
        <w:t xml:space="preserve">5.1  </w:t>
      </w:r>
      <w:r>
        <w:rPr>
          <w:rFonts w:ascii="SimHei" w:eastAsia="SimHei" w:hAnsi="SimHei"/>
        </w:rPr>
        <w:t>线下渠道</w:t>
      </w:r>
      <w:bookmarkEnd w:id="21"/>
    </w:p>
    <w:p w14:paraId="788A1B5E" w14:textId="77777777" w:rsidR="00F459DC" w:rsidRDefault="00DE6982">
      <w:pPr>
        <w:spacing w:after="80" w:line="360" w:lineRule="auto"/>
        <w:ind w:firstLineChars="200" w:firstLine="560"/>
      </w:pPr>
      <w:r>
        <w:rPr>
          <w:color w:val="F79646"/>
        </w:rPr>
        <w:t>线下渠道仍是保险销售的主力，但份额持续收缩。三季度线下渠道保费占比</w:t>
      </w:r>
      <w:r>
        <w:rPr>
          <w:color w:val="F79646"/>
        </w:rPr>
        <w:t>72.8%</w:t>
      </w:r>
      <w:r>
        <w:rPr>
          <w:color w:val="F79646"/>
        </w:rPr>
        <w:t>，较二季度下降</w:t>
      </w:r>
      <w:r>
        <w:rPr>
          <w:color w:val="F79646"/>
        </w:rPr>
        <w:t>2.0</w:t>
      </w:r>
      <w:r>
        <w:rPr>
          <w:color w:val="F79646"/>
        </w:rPr>
        <w:t>个百分点。</w:t>
      </w:r>
    </w:p>
    <w:p w14:paraId="6548D53D" w14:textId="77777777" w:rsidR="00F459DC" w:rsidRDefault="00DE6982">
      <w:pPr>
        <w:pStyle w:val="31"/>
        <w:spacing w:before="240" w:after="120"/>
      </w:pPr>
      <w:bookmarkStart w:id="22" w:name="_Toc236361354"/>
      <w:r>
        <w:rPr>
          <w:rFonts w:ascii="SimHei" w:eastAsia="SimHei" w:hAnsi="SimHei"/>
        </w:rPr>
        <w:t xml:space="preserve">5.1.1  </w:t>
      </w:r>
      <w:r>
        <w:rPr>
          <w:rFonts w:ascii="SimHei" w:eastAsia="SimHei" w:hAnsi="SimHei"/>
        </w:rPr>
        <w:t>个险渠道分析</w:t>
      </w:r>
      <w:bookmarkEnd w:id="22"/>
    </w:p>
    <w:p w14:paraId="36297B2C" w14:textId="77777777" w:rsidR="00F459DC" w:rsidRDefault="00DE6982">
      <w:pPr>
        <w:spacing w:after="80" w:line="360" w:lineRule="auto"/>
        <w:ind w:firstLineChars="200" w:firstLine="560"/>
      </w:pPr>
      <w:r>
        <w:rPr>
          <w:color w:val="F79646"/>
        </w:rPr>
        <w:t>个险渠道本季度实现保费收入</w:t>
      </w:r>
      <w:r>
        <w:rPr>
          <w:color w:val="F79646"/>
        </w:rPr>
        <w:t>8,500</w:t>
      </w:r>
      <w:r>
        <w:rPr>
          <w:color w:val="F79646"/>
        </w:rPr>
        <w:t>亿元，同比增长</w:t>
      </w:r>
      <w:r>
        <w:rPr>
          <w:color w:val="F79646"/>
        </w:rPr>
        <w:t>3.8%</w:t>
      </w:r>
      <w:r>
        <w:rPr>
          <w:color w:val="F79646"/>
        </w:rPr>
        <w:t>，增速小幅回升。代理人队伍规模企稳，人均产能持续提升。</w:t>
      </w:r>
    </w:p>
    <w:p w14:paraId="7067240B" w14:textId="3E34AE9B" w:rsidR="00F459DC" w:rsidRDefault="00DE6982">
      <w:pPr>
        <w:spacing w:before="120" w:after="120" w:line="240" w:lineRule="auto"/>
        <w:jc w:val="center"/>
      </w:pPr>
      <w:r>
        <w:rPr>
          <w:sz w:val="20"/>
        </w:rPr>
        <w:t>表</w:t>
      </w:r>
      <w:r>
        <w:rPr>
          <w:sz w:val="20"/>
        </w:rPr>
        <w:t xml:space="preserve"> </w:t>
      </w:r>
      <w:bookmarkStart w:id="23" w:name="_Ref_表_2"/>
      <w:r>
        <w:fldChar w:fldCharType="begin"/>
      </w:r>
      <w:r>
        <w:instrText>SEQ Table \* ARABIC</w:instrText>
      </w:r>
      <w:r>
        <w:fldChar w:fldCharType="separate"/>
      </w:r>
      <w:r w:rsidR="00255E40">
        <w:rPr>
          <w:noProof/>
        </w:rPr>
        <w:t>2</w:t>
      </w:r>
      <w:r>
        <w:rPr>
          <w:sz w:val="20"/>
          <w:szCs w:val="20"/>
        </w:rPr>
        <w:fldChar w:fldCharType="end"/>
      </w:r>
      <w:bookmarkEnd w:id="23"/>
      <w:r>
        <w:rPr>
          <w:sz w:val="20"/>
        </w:rPr>
        <w:t xml:space="preserve">  2026</w:t>
      </w:r>
      <w:r>
        <w:rPr>
          <w:sz w:val="20"/>
        </w:rPr>
        <w:t>年</w:t>
      </w:r>
      <w:r>
        <w:rPr>
          <w:sz w:val="20"/>
        </w:rPr>
        <w:t>Q3</w:t>
      </w:r>
      <w:r>
        <w:rPr>
          <w:sz w:val="20"/>
        </w:rPr>
        <w:t>各销售渠道保费占比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24"/>
        <w:gridCol w:w="2130"/>
        <w:gridCol w:w="2130"/>
        <w:gridCol w:w="2132"/>
      </w:tblGrid>
      <w:tr w:rsidR="00C41419" w:rsidRPr="004555A0" w14:paraId="37D3D986" w14:textId="77777777" w:rsidTr="00C41419">
        <w:trPr>
          <w:tblHeader/>
        </w:trPr>
        <w:tc>
          <w:tcPr>
            <w:tcW w:w="2160" w:type="dxa"/>
            <w:shd w:val="clear" w:color="auto" w:fill="1F3864"/>
          </w:tcPr>
          <w:p w14:paraId="3FDEAAC3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b/>
                <w:color w:val="FFFFFF"/>
                <w:sz w:val="20"/>
              </w:rPr>
              <w:t>渠道类型</w:t>
            </w:r>
          </w:p>
        </w:tc>
        <w:tc>
          <w:tcPr>
            <w:tcW w:w="2160" w:type="dxa"/>
            <w:shd w:val="clear" w:color="auto" w:fill="1F3864"/>
          </w:tcPr>
          <w:p w14:paraId="5C49E2EA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b/>
                <w:color w:val="FFFFFF"/>
                <w:sz w:val="20"/>
              </w:rPr>
              <w:t>保费收入</w:t>
            </w:r>
            <w:r w:rsidRPr="004555A0">
              <w:rPr>
                <w:b/>
                <w:color w:val="FFFFFF"/>
                <w:sz w:val="20"/>
              </w:rPr>
              <w:t>(</w:t>
            </w:r>
            <w:r w:rsidRPr="004555A0">
              <w:rPr>
                <w:b/>
                <w:color w:val="FFFFFF"/>
                <w:sz w:val="20"/>
              </w:rPr>
              <w:t>亿元</w:t>
            </w:r>
            <w:r w:rsidRPr="004555A0"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2160" w:type="dxa"/>
            <w:shd w:val="clear" w:color="auto" w:fill="1F3864"/>
          </w:tcPr>
          <w:p w14:paraId="19931050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b/>
                <w:color w:val="FFFFFF"/>
                <w:sz w:val="20"/>
              </w:rPr>
              <w:t>占比</w:t>
            </w:r>
          </w:p>
        </w:tc>
        <w:tc>
          <w:tcPr>
            <w:tcW w:w="2160" w:type="dxa"/>
            <w:shd w:val="clear" w:color="auto" w:fill="1F3864"/>
          </w:tcPr>
          <w:p w14:paraId="39E596B8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b/>
                <w:color w:val="FFFFFF"/>
                <w:sz w:val="20"/>
              </w:rPr>
              <w:t>同比变化</w:t>
            </w:r>
          </w:p>
        </w:tc>
      </w:tr>
      <w:tr w:rsidR="00C41419" w:rsidRPr="004555A0" w14:paraId="5B5FC350" w14:textId="77777777" w:rsidTr="00C41419">
        <w:tc>
          <w:tcPr>
            <w:tcW w:w="2160" w:type="dxa"/>
          </w:tcPr>
          <w:p w14:paraId="554CCADC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个险渠道</w:t>
            </w:r>
          </w:p>
        </w:tc>
        <w:tc>
          <w:tcPr>
            <w:tcW w:w="2160" w:type="dxa"/>
          </w:tcPr>
          <w:p w14:paraId="7E0F4A50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8,500</w:t>
            </w:r>
          </w:p>
        </w:tc>
        <w:tc>
          <w:tcPr>
            <w:tcW w:w="2160" w:type="dxa"/>
          </w:tcPr>
          <w:p w14:paraId="2BA2CA96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36.2%</w:t>
            </w:r>
          </w:p>
        </w:tc>
        <w:tc>
          <w:tcPr>
            <w:tcW w:w="2160" w:type="dxa"/>
          </w:tcPr>
          <w:p w14:paraId="1F42A925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-1.4pp</w:t>
            </w:r>
          </w:p>
        </w:tc>
      </w:tr>
      <w:tr w:rsidR="00C41419" w:rsidRPr="004555A0" w14:paraId="4560CB5D" w14:textId="77777777" w:rsidTr="00C41419">
        <w:tc>
          <w:tcPr>
            <w:tcW w:w="2160" w:type="dxa"/>
            <w:shd w:val="clear" w:color="auto" w:fill="DCE6F2"/>
          </w:tcPr>
          <w:p w14:paraId="03D4A9DC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银保渠道</w:t>
            </w:r>
          </w:p>
        </w:tc>
        <w:tc>
          <w:tcPr>
            <w:tcW w:w="2160" w:type="dxa"/>
            <w:shd w:val="clear" w:color="auto" w:fill="DCE6F2"/>
          </w:tcPr>
          <w:p w14:paraId="10850F94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6,900</w:t>
            </w:r>
          </w:p>
        </w:tc>
        <w:tc>
          <w:tcPr>
            <w:tcW w:w="2160" w:type="dxa"/>
            <w:shd w:val="clear" w:color="auto" w:fill="DCE6F2"/>
          </w:tcPr>
          <w:p w14:paraId="5BB34C26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29.4%</w:t>
            </w:r>
          </w:p>
        </w:tc>
        <w:tc>
          <w:tcPr>
            <w:tcW w:w="2160" w:type="dxa"/>
            <w:shd w:val="clear" w:color="auto" w:fill="DCE6F2"/>
          </w:tcPr>
          <w:p w14:paraId="087D2E2B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+0.8pp</w:t>
            </w:r>
          </w:p>
        </w:tc>
      </w:tr>
      <w:tr w:rsidR="00C41419" w:rsidRPr="004555A0" w14:paraId="190844CD" w14:textId="77777777" w:rsidTr="00C41419">
        <w:tc>
          <w:tcPr>
            <w:tcW w:w="2160" w:type="dxa"/>
          </w:tcPr>
          <w:p w14:paraId="2D667AEA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互联网渠道</w:t>
            </w:r>
          </w:p>
        </w:tc>
        <w:tc>
          <w:tcPr>
            <w:tcW w:w="2160" w:type="dxa"/>
          </w:tcPr>
          <w:p w14:paraId="4F862B76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4,850</w:t>
            </w:r>
          </w:p>
        </w:tc>
        <w:tc>
          <w:tcPr>
            <w:tcW w:w="2160" w:type="dxa"/>
          </w:tcPr>
          <w:p w14:paraId="693E4081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20.6%</w:t>
            </w:r>
          </w:p>
        </w:tc>
        <w:tc>
          <w:tcPr>
            <w:tcW w:w="2160" w:type="dxa"/>
          </w:tcPr>
          <w:p w14:paraId="143D919F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+2.5pp</w:t>
            </w:r>
          </w:p>
        </w:tc>
      </w:tr>
      <w:tr w:rsidR="00C41419" w:rsidRPr="004555A0" w14:paraId="6B9BB3BB" w14:textId="77777777" w:rsidTr="00C41419">
        <w:tc>
          <w:tcPr>
            <w:tcW w:w="2160" w:type="dxa"/>
            <w:shd w:val="clear" w:color="auto" w:fill="DCE6F2"/>
          </w:tcPr>
          <w:p w14:paraId="6D441D40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专业代理</w:t>
            </w:r>
          </w:p>
        </w:tc>
        <w:tc>
          <w:tcPr>
            <w:tcW w:w="2160" w:type="dxa"/>
            <w:shd w:val="clear" w:color="auto" w:fill="DCE6F2"/>
          </w:tcPr>
          <w:p w14:paraId="6923039A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1,760</w:t>
            </w:r>
          </w:p>
        </w:tc>
        <w:tc>
          <w:tcPr>
            <w:tcW w:w="2160" w:type="dxa"/>
            <w:shd w:val="clear" w:color="auto" w:fill="DCE6F2"/>
          </w:tcPr>
          <w:p w14:paraId="7F4E25C0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7.5%</w:t>
            </w:r>
          </w:p>
        </w:tc>
        <w:tc>
          <w:tcPr>
            <w:tcW w:w="2160" w:type="dxa"/>
            <w:shd w:val="clear" w:color="auto" w:fill="DCE6F2"/>
          </w:tcPr>
          <w:p w14:paraId="740B2BC9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-0.5pp</w:t>
            </w:r>
          </w:p>
        </w:tc>
      </w:tr>
      <w:tr w:rsidR="00C41419" w:rsidRPr="004555A0" w14:paraId="11FB7C73" w14:textId="77777777" w:rsidTr="00C41419">
        <w:tc>
          <w:tcPr>
            <w:tcW w:w="2160" w:type="dxa"/>
          </w:tcPr>
          <w:p w14:paraId="4F4AF48F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经纪渠道</w:t>
            </w:r>
          </w:p>
        </w:tc>
        <w:tc>
          <w:tcPr>
            <w:tcW w:w="2160" w:type="dxa"/>
          </w:tcPr>
          <w:p w14:paraId="0994F3E2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1,490</w:t>
            </w:r>
          </w:p>
        </w:tc>
        <w:tc>
          <w:tcPr>
            <w:tcW w:w="2160" w:type="dxa"/>
          </w:tcPr>
          <w:p w14:paraId="325CE817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6.3%</w:t>
            </w:r>
          </w:p>
        </w:tc>
        <w:tc>
          <w:tcPr>
            <w:tcW w:w="2160" w:type="dxa"/>
          </w:tcPr>
          <w:p w14:paraId="31407CAB" w14:textId="77777777" w:rsidR="00DE6982" w:rsidRPr="004555A0" w:rsidRDefault="00DE6982">
            <w:pPr>
              <w:jc w:val="center"/>
              <w:rPr>
                <w:color w:val="F79646" w:themeColor="accent6"/>
              </w:rPr>
            </w:pPr>
            <w:r w:rsidRPr="004555A0">
              <w:rPr>
                <w:color w:val="F79646" w:themeColor="accent6"/>
                <w:sz w:val="20"/>
              </w:rPr>
              <w:t>+0.4pp</w:t>
            </w:r>
          </w:p>
        </w:tc>
      </w:tr>
    </w:tbl>
    <w:p w14:paraId="77E1F076" w14:textId="77777777" w:rsidR="00F459DC" w:rsidRDefault="00F459DC"/>
    <w:p w14:paraId="31D2D0E9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代理人队伍演变</w:t>
      </w:r>
    </w:p>
    <w:p w14:paraId="7FA53FCD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lastRenderedPageBreak/>
        <w:t>全行业个险代理人规模降至</w:t>
      </w:r>
      <w:r>
        <w:rPr>
          <w:color w:val="F79646"/>
          <w:sz w:val="21"/>
        </w:rPr>
        <w:t>278</w:t>
      </w:r>
      <w:r>
        <w:rPr>
          <w:color w:val="F79646"/>
          <w:sz w:val="21"/>
        </w:rPr>
        <w:t>万人，较年初减少</w:t>
      </w:r>
      <w:r>
        <w:rPr>
          <w:color w:val="F79646"/>
          <w:sz w:val="21"/>
        </w:rPr>
        <w:t>7</w:t>
      </w:r>
      <w:r>
        <w:rPr>
          <w:color w:val="F79646"/>
          <w:sz w:val="21"/>
        </w:rPr>
        <w:t>万人，降幅收窄</w:t>
      </w:r>
    </w:p>
    <w:p w14:paraId="018D8E6B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代理人月均产能提升至</w:t>
      </w:r>
      <w:r>
        <w:rPr>
          <w:color w:val="F79646"/>
          <w:sz w:val="21"/>
        </w:rPr>
        <w:t>9,200</w:t>
      </w:r>
      <w:r>
        <w:rPr>
          <w:color w:val="F79646"/>
          <w:sz w:val="21"/>
        </w:rPr>
        <w:t>元，同比增长</w:t>
      </w:r>
      <w:r>
        <w:rPr>
          <w:color w:val="F79646"/>
          <w:sz w:val="21"/>
        </w:rPr>
        <w:t>18%</w:t>
      </w:r>
    </w:p>
    <w:p w14:paraId="2E9D4490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活跃代理人占比升至</w:t>
      </w:r>
      <w:r>
        <w:rPr>
          <w:color w:val="F79646"/>
          <w:sz w:val="21"/>
        </w:rPr>
        <w:t>65%</w:t>
      </w:r>
      <w:r>
        <w:rPr>
          <w:color w:val="F79646"/>
          <w:sz w:val="21"/>
        </w:rPr>
        <w:t>，队伍质态持续改善</w:t>
      </w:r>
    </w:p>
    <w:p w14:paraId="625C09CD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F79646"/>
        </w:rPr>
        <w:t>渠道转型方向</w:t>
      </w:r>
    </w:p>
    <w:p w14:paraId="7FF0D95E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优增优育策略深化推进，高产能代理人占比升至</w:t>
      </w:r>
      <w:r>
        <w:rPr>
          <w:color w:val="F79646"/>
          <w:sz w:val="21"/>
        </w:rPr>
        <w:t>25%</w:t>
      </w:r>
    </w:p>
    <w:p w14:paraId="55CFF637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独立代理人模式试点扩至</w:t>
      </w:r>
      <w:r>
        <w:rPr>
          <w:color w:val="F79646"/>
          <w:sz w:val="21"/>
        </w:rPr>
        <w:t>15</w:t>
      </w:r>
      <w:r>
        <w:rPr>
          <w:color w:val="F79646"/>
          <w:sz w:val="21"/>
        </w:rPr>
        <w:t>个城市</w:t>
      </w:r>
    </w:p>
    <w:p w14:paraId="26257A9E" w14:textId="77777777" w:rsidR="00F459DC" w:rsidRDefault="00DE6982">
      <w:pPr>
        <w:pStyle w:val="a0"/>
        <w:spacing w:after="20" w:line="336" w:lineRule="auto"/>
      </w:pPr>
      <w:r>
        <w:rPr>
          <w:color w:val="F79646"/>
          <w:sz w:val="21"/>
        </w:rPr>
        <w:t>代理人数字化赋能系统覆盖率超过</w:t>
      </w:r>
      <w:r>
        <w:rPr>
          <w:color w:val="F79646"/>
          <w:sz w:val="21"/>
        </w:rPr>
        <w:t>85%</w:t>
      </w:r>
    </w:p>
    <w:p w14:paraId="06DDC2B0" w14:textId="77777777" w:rsidR="00F459DC" w:rsidRDefault="00DE6982">
      <w:pPr>
        <w:pStyle w:val="31"/>
        <w:spacing w:before="240" w:after="120"/>
      </w:pPr>
      <w:bookmarkStart w:id="24" w:name="_Toc236361355"/>
      <w:r>
        <w:rPr>
          <w:rFonts w:ascii="SimHei" w:eastAsia="SimHei" w:hAnsi="SimHei"/>
        </w:rPr>
        <w:t xml:space="preserve">5.1.2  </w:t>
      </w:r>
      <w:r>
        <w:rPr>
          <w:rFonts w:ascii="SimHei" w:eastAsia="SimHei" w:hAnsi="SimHei"/>
        </w:rPr>
        <w:t>银保渠道分析</w:t>
      </w:r>
      <w:bookmarkEnd w:id="24"/>
    </w:p>
    <w:p w14:paraId="048291C3" w14:textId="77777777" w:rsidR="00F459DC" w:rsidRDefault="00DE6982">
      <w:pPr>
        <w:spacing w:after="80" w:line="360" w:lineRule="auto"/>
        <w:ind w:firstLineChars="200" w:firstLine="420"/>
      </w:pPr>
      <w:r>
        <w:rPr>
          <w:rFonts w:ascii="Microsoft YaHei" w:eastAsia="Microsoft YaHei" w:hAnsi="Microsoft YaHei"/>
          <w:color w:val="000000"/>
          <w:sz w:val="21"/>
        </w:rPr>
        <w:t>银保渠道本季度延续亮眼表现，实现保费收入</w:t>
      </w:r>
      <w:r>
        <w:rPr>
          <w:rFonts w:ascii="Microsoft YaHei" w:eastAsia="Microsoft YaHei" w:hAnsi="Microsoft YaHei"/>
          <w:color w:val="000000"/>
          <w:sz w:val="21"/>
        </w:rPr>
        <w:t>6,900</w:t>
      </w:r>
      <w:r>
        <w:rPr>
          <w:rFonts w:ascii="Microsoft YaHei" w:eastAsia="Microsoft YaHei" w:hAnsi="Microsoft YaHei"/>
          <w:color w:val="000000"/>
          <w:sz w:val="21"/>
        </w:rPr>
        <w:t>亿元，同比增长</w:t>
      </w:r>
      <w:r>
        <w:rPr>
          <w:rFonts w:ascii="Microsoft YaHei" w:eastAsia="Microsoft YaHei" w:hAnsi="Microsoft YaHei"/>
          <w:color w:val="000000"/>
          <w:sz w:val="21"/>
        </w:rPr>
        <w:t>9.8%</w:t>
      </w:r>
      <w:r>
        <w:rPr>
          <w:rFonts w:ascii="Microsoft YaHei" w:eastAsia="Microsoft YaHei" w:hAnsi="Microsoft YaHei"/>
          <w:color w:val="000000"/>
          <w:sz w:val="21"/>
        </w:rPr>
        <w:t>，增速继续领跑各渠道。</w:t>
      </w:r>
    </w:p>
    <w:p w14:paraId="201EA5AE" w14:textId="77777777" w:rsidR="00F459DC" w:rsidRDefault="00DE6982">
      <w:pPr>
        <w:spacing w:before="120" w:after="40" w:line="360" w:lineRule="auto"/>
        <w:ind w:firstLineChars="200" w:firstLine="420"/>
      </w:pPr>
      <w:r>
        <w:rPr>
          <w:rFonts w:ascii="Microsoft YaHei" w:eastAsia="Microsoft YaHei" w:hAnsi="Microsoft YaHei"/>
          <w:b/>
          <w:color w:val="000000"/>
          <w:sz w:val="21"/>
        </w:rPr>
        <w:t>渠道发展特征</w:t>
      </w:r>
    </w:p>
    <w:p w14:paraId="52C6D4C2" w14:textId="77777777" w:rsidR="00F459DC" w:rsidRDefault="00DE6982">
      <w:pPr>
        <w:pStyle w:val="a0"/>
        <w:spacing w:after="20" w:line="336" w:lineRule="auto"/>
      </w:pPr>
      <w:r>
        <w:rPr>
          <w:rFonts w:ascii="Microsoft YaHei" w:eastAsia="Microsoft YaHei" w:hAnsi="Microsoft YaHei"/>
          <w:color w:val="000000"/>
          <w:sz w:val="21"/>
        </w:rPr>
        <w:t>长期期交产品占比升至</w:t>
      </w:r>
      <w:r>
        <w:rPr>
          <w:rFonts w:ascii="Microsoft YaHei" w:eastAsia="Microsoft YaHei" w:hAnsi="Microsoft YaHei"/>
          <w:color w:val="000000"/>
          <w:sz w:val="21"/>
        </w:rPr>
        <w:t>48%</w:t>
      </w:r>
      <w:r>
        <w:rPr>
          <w:rFonts w:ascii="Microsoft YaHei" w:eastAsia="Microsoft YaHei" w:hAnsi="Microsoft YaHei"/>
          <w:color w:val="000000"/>
          <w:sz w:val="21"/>
        </w:rPr>
        <w:t>，业务质量持续改善</w:t>
      </w:r>
    </w:p>
    <w:p w14:paraId="30DCFA6F" w14:textId="77777777" w:rsidR="00F459DC" w:rsidRDefault="00DE6982">
      <w:pPr>
        <w:pStyle w:val="a0"/>
        <w:spacing w:after="20" w:line="336" w:lineRule="auto"/>
      </w:pPr>
      <w:r>
        <w:rPr>
          <w:rFonts w:ascii="Microsoft YaHei" w:eastAsia="Microsoft YaHei" w:hAnsi="Microsoft YaHei"/>
          <w:color w:val="000000"/>
          <w:sz w:val="21"/>
        </w:rPr>
        <w:t>存量客户经营深化，老客户加保率升至</w:t>
      </w:r>
      <w:r>
        <w:rPr>
          <w:rFonts w:ascii="Microsoft YaHei" w:eastAsia="Microsoft YaHei" w:hAnsi="Microsoft YaHei"/>
          <w:color w:val="000000"/>
          <w:sz w:val="21"/>
        </w:rPr>
        <w:t>30%</w:t>
      </w:r>
    </w:p>
    <w:p w14:paraId="288033A4" w14:textId="77777777" w:rsidR="00F459DC" w:rsidRDefault="00DE6982">
      <w:pPr>
        <w:pStyle w:val="a0"/>
        <w:spacing w:after="20" w:line="336" w:lineRule="auto"/>
      </w:pPr>
      <w:r>
        <w:rPr>
          <w:rFonts w:ascii="Microsoft YaHei" w:eastAsia="Microsoft YaHei" w:hAnsi="Microsoft YaHei"/>
          <w:color w:val="000000"/>
          <w:sz w:val="21"/>
        </w:rPr>
        <w:t>银行网点保险销售专业化程度持续提升</w:t>
      </w:r>
    </w:p>
    <w:p w14:paraId="5949E0B6" w14:textId="77777777" w:rsidR="00F459DC" w:rsidRDefault="00DE6982">
      <w:pPr>
        <w:spacing w:before="120" w:after="40" w:line="360" w:lineRule="auto"/>
        <w:ind w:firstLineChars="200" w:firstLine="420"/>
      </w:pPr>
      <w:r>
        <w:rPr>
          <w:rFonts w:ascii="Microsoft YaHei" w:eastAsia="Microsoft YaHei" w:hAnsi="Microsoft YaHei"/>
          <w:b/>
          <w:color w:val="000000"/>
          <w:sz w:val="21"/>
        </w:rPr>
        <w:t>合作模式创新</w:t>
      </w:r>
    </w:p>
    <w:p w14:paraId="023E808F" w14:textId="77777777" w:rsidR="00F459DC" w:rsidRDefault="00DE6982">
      <w:pPr>
        <w:pStyle w:val="a0"/>
        <w:spacing w:after="20" w:line="336" w:lineRule="auto"/>
      </w:pPr>
      <w:r>
        <w:rPr>
          <w:rFonts w:ascii="Microsoft YaHei" w:eastAsia="Microsoft YaHei" w:hAnsi="Microsoft YaHei"/>
          <w:color w:val="000000"/>
          <w:sz w:val="21"/>
        </w:rPr>
        <w:t>「网点</w:t>
      </w:r>
      <w:r>
        <w:rPr>
          <w:rFonts w:ascii="Microsoft YaHei" w:eastAsia="Microsoft YaHei" w:hAnsi="Microsoft YaHei"/>
          <w:color w:val="000000"/>
          <w:sz w:val="21"/>
        </w:rPr>
        <w:t>+APP</w:t>
      </w:r>
      <w:r>
        <w:rPr>
          <w:rFonts w:ascii="Microsoft YaHei" w:eastAsia="Microsoft YaHei" w:hAnsi="Microsoft YaHei"/>
          <w:color w:val="000000"/>
          <w:sz w:val="21"/>
        </w:rPr>
        <w:t>」双线融合模式全面推广</w:t>
      </w:r>
    </w:p>
    <w:p w14:paraId="32D6AAA4" w14:textId="77777777" w:rsidR="00F459DC" w:rsidRDefault="00DE6982">
      <w:pPr>
        <w:pStyle w:val="a0"/>
        <w:spacing w:after="20" w:line="336" w:lineRule="auto"/>
      </w:pPr>
      <w:r>
        <w:rPr>
          <w:rFonts w:ascii="Microsoft YaHei" w:eastAsia="Microsoft YaHei" w:hAnsi="Microsoft YaHei"/>
          <w:color w:val="000000"/>
          <w:sz w:val="21"/>
        </w:rPr>
        <w:t>银行系险企协同效应持续显现，保费增速高于行业均值</w:t>
      </w:r>
    </w:p>
    <w:p w14:paraId="705D345D" w14:textId="77777777" w:rsidR="00F459DC" w:rsidRDefault="00DE6982">
      <w:pPr>
        <w:pStyle w:val="a0"/>
        <w:spacing w:after="20" w:line="336" w:lineRule="auto"/>
      </w:pPr>
      <w:r>
        <w:rPr>
          <w:rFonts w:ascii="Microsoft YaHei" w:eastAsia="Microsoft YaHei" w:hAnsi="Microsoft YaHei"/>
          <w:color w:val="000000"/>
          <w:sz w:val="21"/>
        </w:rPr>
        <w:t>财富管理与保险保障深度融合，高端客户专属产品线丰富</w:t>
      </w:r>
    </w:p>
    <w:p w14:paraId="42AEBC03" w14:textId="77777777" w:rsidR="00F459DC" w:rsidRDefault="00DE6982">
      <w:pPr>
        <w:pStyle w:val="21"/>
        <w:spacing w:before="240" w:after="120"/>
      </w:pPr>
      <w:bookmarkStart w:id="25" w:name="_Toc236361356"/>
      <w:r>
        <w:rPr>
          <w:rFonts w:ascii="SimHei" w:eastAsia="SimHei" w:hAnsi="SimHei"/>
        </w:rPr>
        <w:t xml:space="preserve">5.2  </w:t>
      </w:r>
      <w:r>
        <w:rPr>
          <w:rFonts w:ascii="SimHei" w:eastAsia="SimHei" w:hAnsi="SimHei"/>
        </w:rPr>
        <w:t>线上渠道</w:t>
      </w:r>
      <w:bookmarkEnd w:id="25"/>
    </w:p>
    <w:p w14:paraId="446F8C0B" w14:textId="77777777" w:rsidR="00F459DC" w:rsidRDefault="00DE6982">
      <w:pPr>
        <w:spacing w:after="80" w:line="360" w:lineRule="auto"/>
        <w:ind w:firstLineChars="200" w:firstLine="560"/>
      </w:pPr>
      <w:r>
        <w:rPr>
          <w:color w:val="000000"/>
        </w:rPr>
        <w:t>线上渠道保持高速扩张，数字化转型进入收获期。三季度线上渠道保费占比首次突破</w:t>
      </w:r>
      <w:r>
        <w:rPr>
          <w:color w:val="000000"/>
        </w:rPr>
        <w:t>22%</w:t>
      </w:r>
      <w:r>
        <w:rPr>
          <w:color w:val="000000"/>
        </w:rPr>
        <w:t>，达</w:t>
      </w:r>
      <w:r>
        <w:rPr>
          <w:color w:val="000000"/>
        </w:rPr>
        <w:t>22.5%</w:t>
      </w:r>
      <w:r>
        <w:rPr>
          <w:color w:val="000000"/>
        </w:rPr>
        <w:t>，成为行业增长的关键引擎。</w:t>
      </w:r>
    </w:p>
    <w:p w14:paraId="065C4A61" w14:textId="77777777" w:rsidR="00F459DC" w:rsidRDefault="00DE6982">
      <w:pPr>
        <w:pStyle w:val="31"/>
        <w:spacing w:before="240" w:after="120"/>
      </w:pPr>
      <w:bookmarkStart w:id="26" w:name="_Toc236361357"/>
      <w:r>
        <w:rPr>
          <w:rFonts w:ascii="SimHei" w:eastAsia="SimHei" w:hAnsi="SimHei"/>
        </w:rPr>
        <w:t xml:space="preserve">5.2.1  </w:t>
      </w:r>
      <w:r>
        <w:rPr>
          <w:rFonts w:ascii="SimHei" w:eastAsia="SimHei" w:hAnsi="SimHei"/>
        </w:rPr>
        <w:t>互联网保险平台</w:t>
      </w:r>
      <w:bookmarkEnd w:id="26"/>
    </w:p>
    <w:p w14:paraId="1D9E308D" w14:textId="77777777" w:rsidR="00F459DC" w:rsidRDefault="00DE6982">
      <w:pPr>
        <w:spacing w:after="80" w:line="360" w:lineRule="auto"/>
        <w:ind w:firstLineChars="200" w:firstLine="560"/>
      </w:pPr>
      <w:r>
        <w:rPr>
          <w:rFonts w:ascii="STZhongsong" w:eastAsia="STZhongsong" w:hAnsi="STZhongsong"/>
          <w:color w:val="000000"/>
        </w:rPr>
        <w:t>互联网保险本季度实现保费收入</w:t>
      </w:r>
      <w:r>
        <w:rPr>
          <w:rFonts w:ascii="STZhongsong" w:eastAsia="STZhongsong" w:hAnsi="STZhongsong"/>
          <w:color w:val="000000"/>
        </w:rPr>
        <w:t>4,850</w:t>
      </w:r>
      <w:r>
        <w:rPr>
          <w:rFonts w:ascii="STZhongsong" w:eastAsia="STZhongsong" w:hAnsi="STZhongsong"/>
          <w:color w:val="000000"/>
        </w:rPr>
        <w:t>亿元，同比增长</w:t>
      </w:r>
      <w:r>
        <w:rPr>
          <w:rFonts w:ascii="STZhongsong" w:eastAsia="STZhongsong" w:hAnsi="STZhongsong"/>
          <w:color w:val="000000"/>
        </w:rPr>
        <w:t>19.2%</w:t>
      </w:r>
      <w:r>
        <w:rPr>
          <w:rFonts w:ascii="STZhongsong" w:eastAsia="STZhongsong" w:hAnsi="STZhongsong"/>
          <w:color w:val="000000"/>
        </w:rPr>
        <w:t>，增速远超行业均值。</w:t>
      </w:r>
    </w:p>
    <w:p w14:paraId="58B9455F" w14:textId="77777777" w:rsidR="00DE6982" w:rsidRPr="00FC6F26" w:rsidRDefault="00DE6982">
      <w:pPr>
        <w:jc w:val="center"/>
        <w:rPr>
          <w:rFonts w:ascii="STZhongsong" w:eastAsia="STZhongsong" w:hAnsi="STZhongsong"/>
        </w:rPr>
      </w:pPr>
      <w:r w:rsidRPr="00FC6F26">
        <w:rPr>
          <w:rFonts w:ascii="STZhongsong" w:eastAsia="STZhongsong" w:hAnsi="STZhongsong"/>
          <w:noProof/>
        </w:rPr>
        <w:lastRenderedPageBreak/>
        <w:drawing>
          <wp:inline distT="0" distB="0" distL="0" distR="0" wp14:anchorId="5198F545" wp14:editId="74063340">
            <wp:extent cx="4754880" cy="28184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渠道变化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81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3789" w14:textId="2258BA88" w:rsidR="00F459DC" w:rsidRDefault="00DE6982">
      <w:pPr>
        <w:spacing w:before="120" w:after="120" w:line="240" w:lineRule="auto"/>
        <w:jc w:val="center"/>
      </w:pPr>
      <w:r>
        <w:rPr>
          <w:sz w:val="20"/>
        </w:rPr>
        <w:t>图</w:t>
      </w:r>
      <w:r>
        <w:rPr>
          <w:sz w:val="20"/>
        </w:rPr>
        <w:t xml:space="preserve"> </w:t>
      </w:r>
      <w:bookmarkStart w:id="27" w:name="_Ref_图_3"/>
      <w:r>
        <w:fldChar w:fldCharType="begin"/>
      </w:r>
      <w:r>
        <w:instrText>SEQ Figure \* ARABIC</w:instrText>
      </w:r>
      <w:r>
        <w:fldChar w:fldCharType="separate"/>
      </w:r>
      <w:r w:rsidR="00255E40">
        <w:rPr>
          <w:noProof/>
        </w:rPr>
        <w:t>3</w:t>
      </w:r>
      <w:r>
        <w:rPr>
          <w:sz w:val="20"/>
          <w:szCs w:val="20"/>
        </w:rPr>
        <w:fldChar w:fldCharType="end"/>
      </w:r>
      <w:bookmarkEnd w:id="27"/>
      <w:r>
        <w:rPr>
          <w:sz w:val="20"/>
        </w:rPr>
        <w:t xml:space="preserve">  2024-2026</w:t>
      </w:r>
      <w:r>
        <w:rPr>
          <w:sz w:val="20"/>
        </w:rPr>
        <w:t>年各销售渠道保费占比变化</w:t>
      </w:r>
    </w:p>
    <w:p w14:paraId="680A5D6E" w14:textId="77777777" w:rsidR="00F459DC" w:rsidRDefault="00DE6982">
      <w:pPr>
        <w:spacing w:before="120" w:after="40" w:line="360" w:lineRule="auto"/>
        <w:ind w:firstLineChars="200" w:firstLine="561"/>
      </w:pPr>
      <w:r>
        <w:rPr>
          <w:rFonts w:ascii="STZhongsong" w:eastAsia="STZhongsong" w:hAnsi="STZhongsong"/>
          <w:b/>
          <w:color w:val="000000"/>
        </w:rPr>
        <w:t>平台竞争格局</w:t>
      </w:r>
    </w:p>
    <w:p w14:paraId="70AF3CEB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头部互联网保险平台集中度提升，</w:t>
      </w:r>
      <w:r>
        <w:rPr>
          <w:rFonts w:ascii="STZhongsong" w:eastAsia="STZhongsong" w:hAnsi="STZhongsong"/>
          <w:color w:val="000000"/>
          <w:sz w:val="21"/>
        </w:rPr>
        <w:t>CR3</w:t>
      </w:r>
      <w:r>
        <w:rPr>
          <w:rFonts w:ascii="STZhongsong" w:eastAsia="STZhongsong" w:hAnsi="STZhongsong"/>
          <w:color w:val="000000"/>
          <w:sz w:val="21"/>
        </w:rPr>
        <w:t>占比达</w:t>
      </w:r>
      <w:r>
        <w:rPr>
          <w:rFonts w:ascii="STZhongsong" w:eastAsia="STZhongsong" w:hAnsi="STZhongsong"/>
          <w:color w:val="000000"/>
          <w:sz w:val="21"/>
        </w:rPr>
        <w:t>57%</w:t>
      </w:r>
    </w:p>
    <w:p w14:paraId="0DC0FC29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险企自营平台建设投入加码，直销能力持续增强</w:t>
      </w:r>
    </w:p>
    <w:p w14:paraId="3F965CE1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短视频与直播渠道成为重要获客入口，贡献度持续提升</w:t>
      </w:r>
    </w:p>
    <w:p w14:paraId="0675EF1F" w14:textId="77777777" w:rsidR="00F459DC" w:rsidRDefault="00DE6982">
      <w:pPr>
        <w:spacing w:before="120" w:after="40" w:line="360" w:lineRule="auto"/>
        <w:ind w:firstLineChars="200" w:firstLine="561"/>
      </w:pPr>
      <w:r>
        <w:rPr>
          <w:rFonts w:ascii="STZhongsong" w:eastAsia="STZhongsong" w:hAnsi="STZhongsong"/>
          <w:b/>
          <w:color w:val="000000"/>
        </w:rPr>
        <w:t>产品特征</w:t>
      </w:r>
    </w:p>
    <w:p w14:paraId="75632165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以短险产品为主，件均保费约</w:t>
      </w:r>
      <w:r>
        <w:rPr>
          <w:rFonts w:ascii="STZhongsong" w:eastAsia="STZhongsong" w:hAnsi="STZhongsong"/>
          <w:color w:val="000000"/>
          <w:sz w:val="21"/>
        </w:rPr>
        <w:t>380</w:t>
      </w:r>
      <w:r>
        <w:rPr>
          <w:rFonts w:ascii="STZhongsong" w:eastAsia="STZhongsong" w:hAnsi="STZhongsong"/>
          <w:color w:val="000000"/>
          <w:sz w:val="21"/>
        </w:rPr>
        <w:t>元</w:t>
      </w:r>
    </w:p>
    <w:p w14:paraId="7705152D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健康险与意外险合计占比超</w:t>
      </w:r>
      <w:r>
        <w:rPr>
          <w:rFonts w:ascii="STZhongsong" w:eastAsia="STZhongsong" w:hAnsi="STZhongsong"/>
          <w:color w:val="000000"/>
          <w:sz w:val="21"/>
        </w:rPr>
        <w:t>72%</w:t>
      </w:r>
    </w:p>
    <w:p w14:paraId="190A585C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长期险产品线上化率升至</w:t>
      </w:r>
      <w:r>
        <w:rPr>
          <w:rFonts w:ascii="STZhongsong" w:eastAsia="STZhongsong" w:hAnsi="STZhongsong"/>
          <w:color w:val="000000"/>
          <w:sz w:val="21"/>
        </w:rPr>
        <w:t>9.5%</w:t>
      </w:r>
      <w:r>
        <w:rPr>
          <w:rFonts w:ascii="STZhongsong" w:eastAsia="STZhongsong" w:hAnsi="STZhongsong"/>
          <w:color w:val="000000"/>
          <w:sz w:val="21"/>
        </w:rPr>
        <w:t>，仍有较大提升空间</w:t>
      </w:r>
    </w:p>
    <w:p w14:paraId="3CEC8263" w14:textId="77777777" w:rsidR="00F459DC" w:rsidRDefault="00DE6982">
      <w:pPr>
        <w:spacing w:before="120" w:after="40" w:line="360" w:lineRule="auto"/>
        <w:ind w:firstLineChars="200" w:firstLine="561"/>
      </w:pPr>
      <w:r>
        <w:rPr>
          <w:rFonts w:ascii="STZhongsong" w:eastAsia="STZhongsong" w:hAnsi="STZhongsong"/>
          <w:b/>
          <w:color w:val="000000"/>
        </w:rPr>
        <w:t>技术驱动</w:t>
      </w:r>
    </w:p>
    <w:p w14:paraId="5852D5F2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智能核保覆盖率突破</w:t>
      </w:r>
      <w:r>
        <w:rPr>
          <w:rFonts w:ascii="STZhongsong" w:eastAsia="STZhongsong" w:hAnsi="STZhongsong"/>
          <w:color w:val="000000"/>
          <w:sz w:val="21"/>
        </w:rPr>
        <w:t>92%</w:t>
      </w:r>
      <w:r>
        <w:rPr>
          <w:rFonts w:ascii="STZhongsong" w:eastAsia="STZhongsong" w:hAnsi="STZhongsong"/>
          <w:color w:val="000000"/>
          <w:sz w:val="21"/>
        </w:rPr>
        <w:t>，秒级出单已成为行业标配</w:t>
      </w:r>
    </w:p>
    <w:p w14:paraId="7CE697C7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AI</w:t>
      </w:r>
      <w:r>
        <w:rPr>
          <w:rFonts w:ascii="STZhongsong" w:eastAsia="STZhongsong" w:hAnsi="STZhongsong"/>
          <w:color w:val="000000"/>
          <w:sz w:val="21"/>
        </w:rPr>
        <w:t>智能客服承接逾</w:t>
      </w:r>
      <w:r>
        <w:rPr>
          <w:rFonts w:ascii="STZhongsong" w:eastAsia="STZhongsong" w:hAnsi="STZhongsong"/>
          <w:color w:val="000000"/>
          <w:sz w:val="21"/>
        </w:rPr>
        <w:t>85%</w:t>
      </w:r>
      <w:r>
        <w:rPr>
          <w:rFonts w:ascii="STZhongsong" w:eastAsia="STZhongsong" w:hAnsi="STZhongsong"/>
          <w:color w:val="000000"/>
          <w:sz w:val="21"/>
        </w:rPr>
        <w:t>的在线咨询量</w:t>
      </w:r>
    </w:p>
    <w:p w14:paraId="35599897" w14:textId="77777777" w:rsidR="00F459DC" w:rsidRDefault="00DE6982">
      <w:pPr>
        <w:pStyle w:val="a0"/>
        <w:spacing w:after="20" w:line="336" w:lineRule="auto"/>
      </w:pPr>
      <w:r>
        <w:rPr>
          <w:rFonts w:ascii="STZhongsong" w:eastAsia="STZhongsong" w:hAnsi="STZhongsong"/>
          <w:color w:val="000000"/>
          <w:sz w:val="21"/>
        </w:rPr>
        <w:t>电子保单渗透率达</w:t>
      </w:r>
      <w:r>
        <w:rPr>
          <w:rFonts w:ascii="STZhongsong" w:eastAsia="STZhongsong" w:hAnsi="STZhongsong"/>
          <w:color w:val="000000"/>
          <w:sz w:val="21"/>
        </w:rPr>
        <w:t>96%</w:t>
      </w:r>
      <w:r>
        <w:rPr>
          <w:rFonts w:ascii="STZhongsong" w:eastAsia="STZhongsong" w:hAnsi="STZhongsong"/>
          <w:color w:val="000000"/>
          <w:sz w:val="21"/>
        </w:rPr>
        <w:t>以上，无纸化进程加快</w:t>
      </w:r>
    </w:p>
    <w:p w14:paraId="493FB6E4" w14:textId="77777777" w:rsidR="00F459DC" w:rsidRDefault="00DE6982">
      <w:pPr>
        <w:pStyle w:val="21"/>
        <w:spacing w:before="240" w:after="120"/>
      </w:pPr>
      <w:bookmarkStart w:id="28" w:name="_Toc236361358"/>
      <w:r>
        <w:rPr>
          <w:rFonts w:ascii="SimHei" w:eastAsia="SimHei" w:hAnsi="SimHei"/>
        </w:rPr>
        <w:t xml:space="preserve">6.1  </w:t>
      </w:r>
      <w:r>
        <w:rPr>
          <w:rFonts w:ascii="SimHei" w:eastAsia="SimHei" w:hAnsi="SimHei"/>
        </w:rPr>
        <w:t>风险评估体系</w:t>
      </w:r>
      <w:bookmarkEnd w:id="28"/>
    </w:p>
    <w:p w14:paraId="2C582118" w14:textId="77777777" w:rsidR="00F459DC" w:rsidRDefault="00DE6982">
      <w:pPr>
        <w:spacing w:after="80" w:line="360" w:lineRule="auto"/>
        <w:ind w:firstLineChars="200" w:firstLine="560"/>
      </w:pPr>
      <w:r>
        <w:rPr>
          <w:color w:val="000000"/>
        </w:rPr>
        <w:t>三季度行业风险管理能力持续提升，偿付能力总体充足，风险防线进一步筑牢。</w:t>
      </w:r>
    </w:p>
    <w:p w14:paraId="4BFA6E82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lastRenderedPageBreak/>
        <w:t>偿付能力水平</w:t>
      </w:r>
    </w:p>
    <w:p w14:paraId="616E546E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行业平均综合偿付能力充足率</w:t>
      </w:r>
      <w:r>
        <w:rPr>
          <w:color w:val="000000"/>
          <w:sz w:val="21"/>
        </w:rPr>
        <w:t>194%</w:t>
      </w:r>
      <w:r>
        <w:rPr>
          <w:color w:val="000000"/>
          <w:sz w:val="21"/>
        </w:rPr>
        <w:t>，较二季度下降</w:t>
      </w:r>
      <w:r>
        <w:rPr>
          <w:color w:val="000000"/>
          <w:sz w:val="21"/>
        </w:rPr>
        <w:t>2</w:t>
      </w:r>
      <w:r>
        <w:rPr>
          <w:color w:val="000000"/>
          <w:sz w:val="21"/>
        </w:rPr>
        <w:t>个百分点</w:t>
      </w:r>
    </w:p>
    <w:p w14:paraId="60A9ECAE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人身险公司平均核心偿付能力充足率</w:t>
      </w:r>
      <w:r>
        <w:rPr>
          <w:color w:val="000000"/>
          <w:sz w:val="21"/>
        </w:rPr>
        <w:t>115%</w:t>
      </w:r>
    </w:p>
    <w:p w14:paraId="71E9BE8D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财产险公司平均综合偿付能力充足率</w:t>
      </w:r>
      <w:r>
        <w:rPr>
          <w:color w:val="000000"/>
          <w:sz w:val="21"/>
        </w:rPr>
        <w:t>238%</w:t>
      </w:r>
    </w:p>
    <w:p w14:paraId="2F402448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风控能力建设</w:t>
      </w:r>
    </w:p>
    <w:p w14:paraId="4ABC97C7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偿二代二期工程规则修订持续推进，穿透式监管要求深化</w:t>
      </w:r>
    </w:p>
    <w:p w14:paraId="40177AEB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资产负债管理能力评估结果纳入分类监管体系</w:t>
      </w:r>
    </w:p>
    <w:p w14:paraId="5FD36A1A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流动性风险监测指标体系进一步完善</w:t>
      </w:r>
    </w:p>
    <w:p w14:paraId="4C9A5464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压力测试结果</w:t>
      </w:r>
    </w:p>
    <w:p w14:paraId="57A45E36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利率下行</w:t>
      </w:r>
      <w:r>
        <w:rPr>
          <w:color w:val="000000"/>
          <w:sz w:val="21"/>
        </w:rPr>
        <w:t>100BP</w:t>
      </w:r>
      <w:r>
        <w:rPr>
          <w:color w:val="000000"/>
          <w:sz w:val="21"/>
        </w:rPr>
        <w:t>情景下，约</w:t>
      </w:r>
      <w:r>
        <w:rPr>
          <w:color w:val="000000"/>
          <w:sz w:val="21"/>
        </w:rPr>
        <w:t>12%</w:t>
      </w:r>
      <w:r>
        <w:rPr>
          <w:color w:val="000000"/>
          <w:sz w:val="21"/>
        </w:rPr>
        <w:t>的人身险公司面临利差损，较二季度有所改善</w:t>
      </w:r>
    </w:p>
    <w:p w14:paraId="57BF2E4F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权益市场下跌</w:t>
      </w:r>
      <w:r>
        <w:rPr>
          <w:color w:val="000000"/>
          <w:sz w:val="21"/>
        </w:rPr>
        <w:t>20%</w:t>
      </w:r>
      <w:r>
        <w:rPr>
          <w:color w:val="000000"/>
          <w:sz w:val="21"/>
        </w:rPr>
        <w:t>情景下，行业偿付能力回落约</w:t>
      </w:r>
      <w:r>
        <w:rPr>
          <w:color w:val="000000"/>
          <w:sz w:val="21"/>
        </w:rPr>
        <w:t>7</w:t>
      </w:r>
      <w:r>
        <w:rPr>
          <w:color w:val="000000"/>
          <w:sz w:val="21"/>
        </w:rPr>
        <w:t>个百分点</w:t>
      </w:r>
    </w:p>
    <w:p w14:paraId="5C606DBB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巨灾情景测试已覆盖所有经营巨灾险种的机构</w:t>
      </w:r>
    </w:p>
    <w:p w14:paraId="7A5E8163" w14:textId="77777777" w:rsidR="00F459DC" w:rsidRDefault="00DE6982">
      <w:pPr>
        <w:pStyle w:val="21"/>
        <w:spacing w:before="240" w:after="120"/>
      </w:pPr>
      <w:bookmarkStart w:id="29" w:name="_Toc236361359"/>
      <w:r>
        <w:rPr>
          <w:rFonts w:ascii="SimHei" w:eastAsia="SimHei" w:hAnsi="SimHei"/>
        </w:rPr>
        <w:t xml:space="preserve">6.2  </w:t>
      </w:r>
      <w:r>
        <w:rPr>
          <w:rFonts w:ascii="SimHei" w:eastAsia="SimHei" w:hAnsi="SimHei"/>
        </w:rPr>
        <w:t>理赔服务效率</w:t>
      </w:r>
      <w:bookmarkEnd w:id="29"/>
    </w:p>
    <w:p w14:paraId="1696A6BB" w14:textId="77777777" w:rsidR="00F459DC" w:rsidRDefault="00DE6982">
      <w:pPr>
        <w:spacing w:after="80" w:line="360" w:lineRule="auto"/>
        <w:ind w:firstLineChars="200" w:firstLine="560"/>
      </w:pPr>
      <w:r>
        <w:rPr>
          <w:color w:val="000000"/>
        </w:rPr>
        <w:t>理赔服务质量与效率持续提升，客户体验改善明显。科技赋能推动理赔流程智能化升级。</w:t>
      </w:r>
    </w:p>
    <w:p w14:paraId="2C871FD6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理赔时效指标</w:t>
      </w:r>
    </w:p>
    <w:p w14:paraId="56DD2EA8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案均理赔周期缩短至</w:t>
      </w:r>
      <w:r>
        <w:rPr>
          <w:color w:val="000000"/>
          <w:sz w:val="21"/>
        </w:rPr>
        <w:t>2.5</w:t>
      </w:r>
      <w:r>
        <w:rPr>
          <w:color w:val="000000"/>
          <w:sz w:val="21"/>
        </w:rPr>
        <w:t>天，同比缩短</w:t>
      </w:r>
      <w:r>
        <w:rPr>
          <w:color w:val="000000"/>
          <w:sz w:val="21"/>
        </w:rPr>
        <w:t>0.6</w:t>
      </w:r>
      <w:r>
        <w:rPr>
          <w:color w:val="000000"/>
          <w:sz w:val="21"/>
        </w:rPr>
        <w:t>天</w:t>
      </w:r>
    </w:p>
    <w:p w14:paraId="7E53BBAB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小额案件秒赔覆盖率升至</w:t>
      </w:r>
      <w:r>
        <w:rPr>
          <w:color w:val="000000"/>
          <w:sz w:val="21"/>
        </w:rPr>
        <w:t>42%</w:t>
      </w:r>
    </w:p>
    <w:p w14:paraId="6D538AC0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理赔线上化率达</w:t>
      </w:r>
      <w:r>
        <w:rPr>
          <w:color w:val="000000"/>
          <w:sz w:val="21"/>
        </w:rPr>
        <w:t>82%</w:t>
      </w:r>
    </w:p>
    <w:p w14:paraId="38FEDCDD" w14:textId="77777777" w:rsidR="00DE6982" w:rsidRDefault="00DE6982">
      <w:pPr>
        <w:jc w:val="center"/>
      </w:pPr>
      <w:r>
        <w:rPr>
          <w:noProof/>
        </w:rPr>
        <w:lastRenderedPageBreak/>
        <w:drawing>
          <wp:inline distT="0" distB="0" distL="0" distR="0" wp14:anchorId="65B63B52" wp14:editId="1B0EB0E7">
            <wp:extent cx="4754880" cy="2648288"/>
            <wp:effectExtent l="0" t="0" r="0" b="0"/>
            <wp:docPr id="109652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理赔时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64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E088" w14:textId="4C0D3B2D" w:rsidR="00F459DC" w:rsidRDefault="00DE6982">
      <w:pPr>
        <w:spacing w:before="120" w:after="120" w:line="240" w:lineRule="auto"/>
        <w:jc w:val="center"/>
      </w:pPr>
      <w:r>
        <w:rPr>
          <w:sz w:val="20"/>
        </w:rPr>
        <w:t>图</w:t>
      </w:r>
      <w:r>
        <w:rPr>
          <w:sz w:val="20"/>
        </w:rPr>
        <w:t xml:space="preserve"> </w:t>
      </w:r>
      <w:bookmarkStart w:id="30" w:name="_Ref_图_4"/>
      <w:r>
        <w:fldChar w:fldCharType="begin"/>
      </w:r>
      <w:r>
        <w:instrText>SEQ Figure \* ARABIC</w:instrText>
      </w:r>
      <w:r>
        <w:fldChar w:fldCharType="separate"/>
      </w:r>
      <w:r w:rsidR="00255E40">
        <w:rPr>
          <w:noProof/>
        </w:rPr>
        <w:t>4</w:t>
      </w:r>
      <w:r>
        <w:rPr>
          <w:sz w:val="20"/>
          <w:szCs w:val="20"/>
        </w:rPr>
        <w:fldChar w:fldCharType="end"/>
      </w:r>
      <w:bookmarkEnd w:id="30"/>
      <w:r>
        <w:rPr>
          <w:sz w:val="20"/>
        </w:rPr>
        <w:t xml:space="preserve">  2024-2026</w:t>
      </w:r>
      <w:r>
        <w:rPr>
          <w:sz w:val="20"/>
        </w:rPr>
        <w:t>年理赔时效对比</w:t>
      </w:r>
    </w:p>
    <w:p w14:paraId="59917781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服务创新举措</w:t>
      </w:r>
    </w:p>
    <w:p w14:paraId="3CA26F3F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「闪赔」服务扩面，</w:t>
      </w:r>
      <w:r>
        <w:rPr>
          <w:color w:val="000000"/>
          <w:sz w:val="21"/>
        </w:rPr>
        <w:t>6,000</w:t>
      </w:r>
      <w:r>
        <w:rPr>
          <w:color w:val="000000"/>
          <w:sz w:val="21"/>
        </w:rPr>
        <w:t>元以下案件</w:t>
      </w:r>
      <w:r>
        <w:rPr>
          <w:color w:val="000000"/>
          <w:sz w:val="21"/>
        </w:rPr>
        <w:t>1</w:t>
      </w:r>
      <w:r>
        <w:rPr>
          <w:color w:val="000000"/>
          <w:sz w:val="21"/>
        </w:rPr>
        <w:t>小时内完成赔付</w:t>
      </w:r>
    </w:p>
    <w:p w14:paraId="3E92A67E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医疗险理赔医院直连直付试点扩至</w:t>
      </w:r>
      <w:r>
        <w:rPr>
          <w:color w:val="000000"/>
          <w:sz w:val="21"/>
        </w:rPr>
        <w:t>280</w:t>
      </w:r>
      <w:r>
        <w:rPr>
          <w:color w:val="000000"/>
          <w:sz w:val="21"/>
        </w:rPr>
        <w:t>家医院</w:t>
      </w:r>
    </w:p>
    <w:p w14:paraId="1B0A0B1D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理赔智能审核系统准确率达到</w:t>
      </w:r>
      <w:r>
        <w:rPr>
          <w:color w:val="000000"/>
          <w:sz w:val="21"/>
        </w:rPr>
        <w:t>94%</w:t>
      </w:r>
    </w:p>
    <w:p w14:paraId="6B591B1E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客户体验</w:t>
      </w:r>
    </w:p>
    <w:p w14:paraId="547247F5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理赔客户满意度评分</w:t>
      </w:r>
      <w:r>
        <w:rPr>
          <w:color w:val="000000"/>
          <w:sz w:val="21"/>
        </w:rPr>
        <w:t>88.2</w:t>
      </w:r>
      <w:r>
        <w:rPr>
          <w:color w:val="000000"/>
          <w:sz w:val="21"/>
        </w:rPr>
        <w:t>分（满分</w:t>
      </w:r>
      <w:r>
        <w:rPr>
          <w:color w:val="000000"/>
          <w:sz w:val="21"/>
        </w:rPr>
        <w:t>100</w:t>
      </w:r>
      <w:r>
        <w:rPr>
          <w:color w:val="000000"/>
          <w:sz w:val="21"/>
        </w:rPr>
        <w:t>），同比提升</w:t>
      </w:r>
      <w:r>
        <w:rPr>
          <w:color w:val="000000"/>
          <w:sz w:val="21"/>
        </w:rPr>
        <w:t>2.8</w:t>
      </w:r>
      <w:r>
        <w:rPr>
          <w:color w:val="000000"/>
          <w:sz w:val="21"/>
        </w:rPr>
        <w:t>分</w:t>
      </w:r>
    </w:p>
    <w:p w14:paraId="3F3F57CC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投诉率降至万分之</w:t>
      </w:r>
      <w:r>
        <w:rPr>
          <w:color w:val="000000"/>
          <w:sz w:val="21"/>
        </w:rPr>
        <w:t>2.8</w:t>
      </w:r>
    </w:p>
    <w:p w14:paraId="7C18061F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重复购买率升至</w:t>
      </w:r>
      <w:r>
        <w:rPr>
          <w:color w:val="000000"/>
          <w:sz w:val="21"/>
        </w:rPr>
        <w:t>43%</w:t>
      </w:r>
    </w:p>
    <w:p w14:paraId="40AFCB5F" w14:textId="77777777" w:rsidR="00F459DC" w:rsidRDefault="00DE6982">
      <w:pPr>
        <w:pStyle w:val="21"/>
        <w:spacing w:before="240" w:after="120"/>
      </w:pPr>
      <w:bookmarkStart w:id="31" w:name="_Toc236361360"/>
      <w:r>
        <w:rPr>
          <w:rFonts w:ascii="SimHei" w:eastAsia="SimHei" w:hAnsi="SimHei"/>
        </w:rPr>
        <w:t xml:space="preserve">6.3  </w:t>
      </w:r>
      <w:r>
        <w:rPr>
          <w:rFonts w:ascii="SimHei" w:eastAsia="SimHei" w:hAnsi="SimHei"/>
        </w:rPr>
        <w:t>反欺诈技术应用</w:t>
      </w:r>
      <w:bookmarkEnd w:id="31"/>
    </w:p>
    <w:p w14:paraId="3319DBF2" w14:textId="77777777" w:rsidR="00F459DC" w:rsidRDefault="00DE6982">
      <w:pPr>
        <w:spacing w:after="80" w:line="360" w:lineRule="auto"/>
        <w:ind w:firstLineChars="200" w:firstLine="560"/>
      </w:pPr>
      <w:r>
        <w:rPr>
          <w:color w:val="000000"/>
        </w:rPr>
        <w:t>反欺诈技术能力在本季度持续突破，</w:t>
      </w:r>
      <w:r>
        <w:rPr>
          <w:color w:val="000000"/>
        </w:rPr>
        <w:t>AI</w:t>
      </w:r>
      <w:r>
        <w:rPr>
          <w:color w:val="000000"/>
        </w:rPr>
        <w:t>与大数据驱动的智能反欺诈体系不断完善。</w:t>
      </w:r>
    </w:p>
    <w:p w14:paraId="0217A3FE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技术落地</w:t>
      </w:r>
    </w:p>
    <w:p w14:paraId="5FFAE8EA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AI</w:t>
      </w:r>
      <w:r>
        <w:rPr>
          <w:color w:val="000000"/>
          <w:sz w:val="21"/>
        </w:rPr>
        <w:t>反欺诈模型识别准确率升至</w:t>
      </w:r>
      <w:r>
        <w:rPr>
          <w:color w:val="000000"/>
          <w:sz w:val="21"/>
        </w:rPr>
        <w:t>91%</w:t>
      </w:r>
      <w:r>
        <w:rPr>
          <w:color w:val="000000"/>
          <w:sz w:val="21"/>
        </w:rPr>
        <w:t>，误报率控制在</w:t>
      </w:r>
      <w:r>
        <w:rPr>
          <w:color w:val="000000"/>
          <w:sz w:val="21"/>
        </w:rPr>
        <w:t>4%</w:t>
      </w:r>
      <w:r>
        <w:rPr>
          <w:color w:val="000000"/>
          <w:sz w:val="21"/>
        </w:rPr>
        <w:t>以内</w:t>
      </w:r>
    </w:p>
    <w:p w14:paraId="37C64834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图数据库技术应用于团伙欺诈识别，挽回损失约</w:t>
      </w:r>
      <w:r>
        <w:rPr>
          <w:color w:val="000000"/>
          <w:sz w:val="21"/>
        </w:rPr>
        <w:t>15</w:t>
      </w:r>
      <w:r>
        <w:rPr>
          <w:color w:val="000000"/>
          <w:sz w:val="21"/>
        </w:rPr>
        <w:t>亿元</w:t>
      </w:r>
    </w:p>
    <w:p w14:paraId="4CCCD2A6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区块链技术用于理赔数据防篡改，覆盖</w:t>
      </w:r>
      <w:r>
        <w:rPr>
          <w:color w:val="000000"/>
          <w:sz w:val="21"/>
        </w:rPr>
        <w:t>35%</w:t>
      </w:r>
      <w:r>
        <w:rPr>
          <w:color w:val="000000"/>
          <w:sz w:val="21"/>
        </w:rPr>
        <w:t>以上的理赔案件</w:t>
      </w:r>
    </w:p>
    <w:p w14:paraId="68BA0963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减损成效</w:t>
      </w:r>
    </w:p>
    <w:p w14:paraId="4407080F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疑似欺诈案件识别量同比增长</w:t>
      </w:r>
      <w:r>
        <w:rPr>
          <w:color w:val="000000"/>
          <w:sz w:val="21"/>
        </w:rPr>
        <w:t>28%</w:t>
      </w:r>
    </w:p>
    <w:p w14:paraId="5CCD1345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lastRenderedPageBreak/>
        <w:t>实际欺诈减损金额约</w:t>
      </w:r>
      <w:r>
        <w:rPr>
          <w:color w:val="000000"/>
          <w:sz w:val="21"/>
        </w:rPr>
        <w:t>10.2</w:t>
      </w:r>
      <w:r>
        <w:rPr>
          <w:color w:val="000000"/>
          <w:sz w:val="21"/>
        </w:rPr>
        <w:t>亿元</w:t>
      </w:r>
    </w:p>
    <w:p w14:paraId="42692684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行业反欺诈信息共享平台覆盖机构增至</w:t>
      </w:r>
      <w:r>
        <w:rPr>
          <w:color w:val="000000"/>
          <w:sz w:val="21"/>
        </w:rPr>
        <w:t>135</w:t>
      </w:r>
      <w:r>
        <w:rPr>
          <w:color w:val="000000"/>
          <w:sz w:val="21"/>
        </w:rPr>
        <w:t>家</w:t>
      </w:r>
    </w:p>
    <w:p w14:paraId="56F777BC" w14:textId="77777777" w:rsidR="00F459DC" w:rsidRDefault="00DE6982">
      <w:pPr>
        <w:pStyle w:val="1"/>
        <w:spacing w:before="360" w:after="120"/>
      </w:pPr>
      <w:bookmarkStart w:id="32" w:name="_Toc236361361"/>
      <w:r>
        <w:rPr>
          <w:rFonts w:ascii="SimHei" w:eastAsia="SimHei" w:hAnsi="SimHei"/>
        </w:rPr>
        <w:t>第七章</w:t>
      </w:r>
      <w:r>
        <w:rPr>
          <w:rFonts w:ascii="SimHei" w:eastAsia="SimHei" w:hAnsi="SimHei"/>
        </w:rPr>
        <w:t xml:space="preserve">  </w:t>
      </w:r>
      <w:r>
        <w:rPr>
          <w:rFonts w:ascii="SimHei" w:eastAsia="SimHei" w:hAnsi="SimHei"/>
        </w:rPr>
        <w:t>行业竞争格局</w:t>
      </w:r>
      <w:bookmarkEnd w:id="32"/>
    </w:p>
    <w:p w14:paraId="6EB942B5" w14:textId="77777777" w:rsidR="00F459DC" w:rsidRDefault="00DE6982">
      <w:pPr>
        <w:spacing w:after="80" w:line="360" w:lineRule="auto"/>
        <w:ind w:firstLineChars="200" w:firstLine="560"/>
      </w:pPr>
      <w:r>
        <w:rPr>
          <w:color w:val="000000"/>
        </w:rPr>
        <w:t>本季度保险行业竞争格局延续「头部稳健、腰部分化、尾部出清」态势。市场集中度小幅下降，但头部险企领先地位依然稳固。</w:t>
      </w:r>
    </w:p>
    <w:p w14:paraId="54410AAC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集中度变化</w:t>
      </w:r>
    </w:p>
    <w:p w14:paraId="5E433822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人身险市场</w:t>
      </w:r>
      <w:r>
        <w:rPr>
          <w:color w:val="000000"/>
          <w:sz w:val="21"/>
        </w:rPr>
        <w:t>CR5</w:t>
      </w:r>
      <w:r>
        <w:rPr>
          <w:color w:val="000000"/>
          <w:sz w:val="21"/>
        </w:rPr>
        <w:t>为</w:t>
      </w:r>
      <w:r>
        <w:rPr>
          <w:color w:val="000000"/>
          <w:sz w:val="21"/>
        </w:rPr>
        <w:t>53.7%</w:t>
      </w:r>
      <w:r>
        <w:rPr>
          <w:color w:val="000000"/>
          <w:sz w:val="21"/>
        </w:rPr>
        <w:t>，较去年同期下降</w:t>
      </w:r>
      <w:r>
        <w:rPr>
          <w:color w:val="000000"/>
          <w:sz w:val="21"/>
        </w:rPr>
        <w:t>0.5</w:t>
      </w:r>
      <w:r>
        <w:rPr>
          <w:color w:val="000000"/>
          <w:sz w:val="21"/>
        </w:rPr>
        <w:t>个百分点</w:t>
      </w:r>
    </w:p>
    <w:p w14:paraId="53CD4D69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财产险市场</w:t>
      </w:r>
      <w:r>
        <w:rPr>
          <w:color w:val="000000"/>
          <w:sz w:val="21"/>
        </w:rPr>
        <w:t>CR5</w:t>
      </w:r>
      <w:r>
        <w:rPr>
          <w:color w:val="000000"/>
          <w:sz w:val="21"/>
        </w:rPr>
        <w:t>为</w:t>
      </w:r>
      <w:r>
        <w:rPr>
          <w:color w:val="000000"/>
          <w:sz w:val="21"/>
        </w:rPr>
        <w:t>63.2%</w:t>
      </w:r>
      <w:r>
        <w:rPr>
          <w:color w:val="000000"/>
          <w:sz w:val="21"/>
        </w:rPr>
        <w:t>，较去年同期下降</w:t>
      </w:r>
      <w:r>
        <w:rPr>
          <w:color w:val="000000"/>
          <w:sz w:val="21"/>
        </w:rPr>
        <w:t>0.6</w:t>
      </w:r>
      <w:r>
        <w:rPr>
          <w:color w:val="000000"/>
          <w:sz w:val="21"/>
        </w:rPr>
        <w:t>个百分点</w:t>
      </w:r>
    </w:p>
    <w:p w14:paraId="061FA5EA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中小险企份额分化加剧，部分公司实现逆势扩张</w:t>
      </w:r>
    </w:p>
    <w:p w14:paraId="072CC3A6" w14:textId="2D1C3684" w:rsidR="00F459DC" w:rsidRDefault="00DE6982">
      <w:pPr>
        <w:spacing w:before="120" w:after="120" w:line="240" w:lineRule="auto"/>
        <w:jc w:val="center"/>
      </w:pPr>
      <w:r>
        <w:rPr>
          <w:sz w:val="20"/>
        </w:rPr>
        <w:t>表</w:t>
      </w:r>
      <w:r>
        <w:rPr>
          <w:sz w:val="20"/>
        </w:rPr>
        <w:t xml:space="preserve"> </w:t>
      </w:r>
      <w:bookmarkStart w:id="33" w:name="_Ref_表_3"/>
      <w:r>
        <w:fldChar w:fldCharType="begin"/>
      </w:r>
      <w:r>
        <w:instrText>SEQ Table \* ARABIC</w:instrText>
      </w:r>
      <w:r>
        <w:fldChar w:fldCharType="separate"/>
      </w:r>
      <w:r w:rsidR="00255E40">
        <w:rPr>
          <w:noProof/>
        </w:rPr>
        <w:t>3</w:t>
      </w:r>
      <w:r>
        <w:rPr>
          <w:sz w:val="20"/>
          <w:szCs w:val="20"/>
        </w:rPr>
        <w:fldChar w:fldCharType="end"/>
      </w:r>
      <w:bookmarkEnd w:id="33"/>
      <w:r>
        <w:rPr>
          <w:sz w:val="20"/>
        </w:rPr>
        <w:t xml:space="preserve">  2026</w:t>
      </w:r>
      <w:r>
        <w:rPr>
          <w:sz w:val="20"/>
        </w:rPr>
        <w:t>年</w:t>
      </w:r>
      <w:r>
        <w:rPr>
          <w:sz w:val="20"/>
        </w:rPr>
        <w:t>Q3</w:t>
      </w:r>
      <w:r>
        <w:rPr>
          <w:sz w:val="20"/>
        </w:rPr>
        <w:t>主要保险公司保费收入排名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00"/>
        <w:gridCol w:w="1700"/>
        <w:gridCol w:w="1706"/>
        <w:gridCol w:w="1704"/>
        <w:gridCol w:w="1706"/>
      </w:tblGrid>
      <w:tr w:rsidR="00894480" w14:paraId="2A635EA0" w14:textId="77777777" w:rsidTr="00894480">
        <w:trPr>
          <w:tblHeader/>
        </w:trPr>
        <w:tc>
          <w:tcPr>
            <w:tcW w:w="1728" w:type="dxa"/>
            <w:shd w:val="clear" w:color="auto" w:fill="1F3864"/>
          </w:tcPr>
          <w:p w14:paraId="5B5A6F46" w14:textId="77777777" w:rsidR="00DE6982" w:rsidRDefault="00DE6982">
            <w:pPr>
              <w:jc w:val="center"/>
            </w:pPr>
            <w:r>
              <w:rPr>
                <w:b/>
                <w:color w:val="FFFFFF"/>
                <w:sz w:val="20"/>
              </w:rPr>
              <w:t>排名</w:t>
            </w:r>
          </w:p>
        </w:tc>
        <w:tc>
          <w:tcPr>
            <w:tcW w:w="1728" w:type="dxa"/>
            <w:shd w:val="clear" w:color="auto" w:fill="1F3864"/>
          </w:tcPr>
          <w:p w14:paraId="376BC492" w14:textId="77777777" w:rsidR="00DE6982" w:rsidRDefault="00DE6982">
            <w:pPr>
              <w:jc w:val="center"/>
            </w:pPr>
            <w:r>
              <w:rPr>
                <w:b/>
                <w:color w:val="FFFFFF"/>
                <w:sz w:val="20"/>
              </w:rPr>
              <w:t>公司名称</w:t>
            </w:r>
          </w:p>
        </w:tc>
        <w:tc>
          <w:tcPr>
            <w:tcW w:w="1728" w:type="dxa"/>
            <w:shd w:val="clear" w:color="auto" w:fill="1F3864"/>
          </w:tcPr>
          <w:p w14:paraId="3C60DD58" w14:textId="77777777" w:rsidR="00DE6982" w:rsidRDefault="00DE6982">
            <w:pPr>
              <w:jc w:val="center"/>
            </w:pPr>
            <w:r>
              <w:rPr>
                <w:b/>
                <w:color w:val="FFFFFF"/>
                <w:sz w:val="20"/>
              </w:rPr>
              <w:t>保费收入</w:t>
            </w:r>
            <w:r>
              <w:rPr>
                <w:b/>
                <w:color w:val="FFFFFF"/>
                <w:sz w:val="20"/>
              </w:rPr>
              <w:t>(</w:t>
            </w:r>
            <w:r>
              <w:rPr>
                <w:b/>
                <w:color w:val="FFFFFF"/>
                <w:sz w:val="20"/>
              </w:rPr>
              <w:t>亿元</w:t>
            </w:r>
            <w:r>
              <w:rPr>
                <w:b/>
                <w:color w:val="FFFFFF"/>
                <w:sz w:val="20"/>
              </w:rPr>
              <w:t>)</w:t>
            </w:r>
          </w:p>
        </w:tc>
        <w:tc>
          <w:tcPr>
            <w:tcW w:w="1728" w:type="dxa"/>
            <w:shd w:val="clear" w:color="auto" w:fill="1F3864"/>
          </w:tcPr>
          <w:p w14:paraId="6B185DAC" w14:textId="77777777" w:rsidR="00DE6982" w:rsidRDefault="00DE6982">
            <w:pPr>
              <w:jc w:val="center"/>
            </w:pPr>
            <w:r>
              <w:rPr>
                <w:b/>
                <w:color w:val="FFFFFF"/>
                <w:sz w:val="20"/>
              </w:rPr>
              <w:t>同比增长</w:t>
            </w:r>
          </w:p>
        </w:tc>
        <w:tc>
          <w:tcPr>
            <w:tcW w:w="1728" w:type="dxa"/>
            <w:shd w:val="clear" w:color="auto" w:fill="1F3864"/>
          </w:tcPr>
          <w:p w14:paraId="20CE6E1F" w14:textId="77777777" w:rsidR="00DE6982" w:rsidRDefault="00DE6982">
            <w:pPr>
              <w:jc w:val="center"/>
            </w:pPr>
            <w:r>
              <w:rPr>
                <w:b/>
                <w:color w:val="FFFFFF"/>
                <w:sz w:val="20"/>
              </w:rPr>
              <w:t>市场份额</w:t>
            </w:r>
          </w:p>
        </w:tc>
      </w:tr>
      <w:tr w:rsidR="00894480" w14:paraId="70DF6972" w14:textId="77777777" w:rsidTr="00894480">
        <w:tc>
          <w:tcPr>
            <w:tcW w:w="1728" w:type="dxa"/>
          </w:tcPr>
          <w:p w14:paraId="4131DEEA" w14:textId="77777777" w:rsidR="00DE6982" w:rsidRDefault="00DE6982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1419917" w14:textId="77777777" w:rsidR="00DE6982" w:rsidRDefault="00DE6982">
            <w:pPr>
              <w:jc w:val="center"/>
            </w:pPr>
            <w:r>
              <w:rPr>
                <w:sz w:val="20"/>
              </w:rPr>
              <w:t>平安人寿</w:t>
            </w:r>
          </w:p>
        </w:tc>
        <w:tc>
          <w:tcPr>
            <w:tcW w:w="1728" w:type="dxa"/>
          </w:tcPr>
          <w:p w14:paraId="3C9AD847" w14:textId="77777777" w:rsidR="00DE6982" w:rsidRDefault="00DE6982">
            <w:pPr>
              <w:jc w:val="center"/>
            </w:pPr>
            <w:r>
              <w:rPr>
                <w:sz w:val="20"/>
              </w:rPr>
              <w:t>3,420</w:t>
            </w:r>
          </w:p>
        </w:tc>
        <w:tc>
          <w:tcPr>
            <w:tcW w:w="1728" w:type="dxa"/>
          </w:tcPr>
          <w:p w14:paraId="1B67FC3A" w14:textId="77777777" w:rsidR="00DE6982" w:rsidRDefault="00DE6982">
            <w:pPr>
              <w:jc w:val="center"/>
            </w:pPr>
            <w:r>
              <w:rPr>
                <w:sz w:val="20"/>
              </w:rPr>
              <w:t>6.1%</w:t>
            </w:r>
          </w:p>
        </w:tc>
        <w:tc>
          <w:tcPr>
            <w:tcW w:w="1728" w:type="dxa"/>
          </w:tcPr>
          <w:p w14:paraId="7F440E24" w14:textId="77777777" w:rsidR="00DE6982" w:rsidRDefault="00DE6982">
            <w:pPr>
              <w:jc w:val="center"/>
            </w:pPr>
            <w:r>
              <w:rPr>
                <w:sz w:val="20"/>
              </w:rPr>
              <w:t>14.6%</w:t>
            </w:r>
          </w:p>
        </w:tc>
      </w:tr>
      <w:tr w:rsidR="00894480" w14:paraId="13F7E7AA" w14:textId="77777777" w:rsidTr="00894480">
        <w:tc>
          <w:tcPr>
            <w:tcW w:w="1728" w:type="dxa"/>
            <w:shd w:val="clear" w:color="auto" w:fill="DCE6F2"/>
          </w:tcPr>
          <w:p w14:paraId="45DD29AF" w14:textId="77777777" w:rsidR="00DE6982" w:rsidRDefault="00DE6982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728" w:type="dxa"/>
            <w:shd w:val="clear" w:color="auto" w:fill="DCE6F2"/>
          </w:tcPr>
          <w:p w14:paraId="5094EE5F" w14:textId="77777777" w:rsidR="00DE6982" w:rsidRDefault="00DE6982">
            <w:pPr>
              <w:jc w:val="center"/>
            </w:pPr>
            <w:r>
              <w:rPr>
                <w:sz w:val="20"/>
              </w:rPr>
              <w:t>中国人寿</w:t>
            </w:r>
          </w:p>
        </w:tc>
        <w:tc>
          <w:tcPr>
            <w:tcW w:w="1728" w:type="dxa"/>
            <w:shd w:val="clear" w:color="auto" w:fill="DCE6F2"/>
          </w:tcPr>
          <w:p w14:paraId="7C899D82" w14:textId="77777777" w:rsidR="00DE6982" w:rsidRDefault="00DE6982">
            <w:pPr>
              <w:jc w:val="center"/>
            </w:pPr>
            <w:r>
              <w:rPr>
                <w:sz w:val="20"/>
              </w:rPr>
              <w:t>3,120</w:t>
            </w:r>
          </w:p>
        </w:tc>
        <w:tc>
          <w:tcPr>
            <w:tcW w:w="1728" w:type="dxa"/>
            <w:shd w:val="clear" w:color="auto" w:fill="DCE6F2"/>
          </w:tcPr>
          <w:p w14:paraId="466C6CC0" w14:textId="77777777" w:rsidR="00DE6982" w:rsidRDefault="00DE6982">
            <w:pPr>
              <w:jc w:val="center"/>
            </w:pPr>
            <w:r>
              <w:rPr>
                <w:sz w:val="20"/>
              </w:rPr>
              <w:t>4.8%</w:t>
            </w:r>
          </w:p>
        </w:tc>
        <w:tc>
          <w:tcPr>
            <w:tcW w:w="1728" w:type="dxa"/>
            <w:shd w:val="clear" w:color="auto" w:fill="DCE6F2"/>
          </w:tcPr>
          <w:p w14:paraId="4894EA93" w14:textId="77777777" w:rsidR="00DE6982" w:rsidRDefault="00DE6982">
            <w:pPr>
              <w:jc w:val="center"/>
            </w:pPr>
            <w:r>
              <w:rPr>
                <w:sz w:val="20"/>
              </w:rPr>
              <w:t>13.3%</w:t>
            </w:r>
          </w:p>
        </w:tc>
      </w:tr>
      <w:tr w:rsidR="00894480" w14:paraId="5CA8E269" w14:textId="77777777" w:rsidTr="00894480">
        <w:tc>
          <w:tcPr>
            <w:tcW w:w="1728" w:type="dxa"/>
          </w:tcPr>
          <w:p w14:paraId="287F2B91" w14:textId="77777777" w:rsidR="00DE6982" w:rsidRDefault="00DE6982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1B7261B" w14:textId="77777777" w:rsidR="00DE6982" w:rsidRDefault="00DE6982">
            <w:pPr>
              <w:jc w:val="center"/>
            </w:pPr>
            <w:r>
              <w:rPr>
                <w:sz w:val="20"/>
              </w:rPr>
              <w:t>太保寿险</w:t>
            </w:r>
          </w:p>
        </w:tc>
        <w:tc>
          <w:tcPr>
            <w:tcW w:w="1728" w:type="dxa"/>
          </w:tcPr>
          <w:p w14:paraId="5A3D97C6" w14:textId="77777777" w:rsidR="00DE6982" w:rsidRDefault="00DE6982">
            <w:pPr>
              <w:jc w:val="center"/>
            </w:pPr>
            <w:r>
              <w:rPr>
                <w:sz w:val="20"/>
              </w:rPr>
              <w:t>1,790</w:t>
            </w:r>
          </w:p>
        </w:tc>
        <w:tc>
          <w:tcPr>
            <w:tcW w:w="1728" w:type="dxa"/>
          </w:tcPr>
          <w:p w14:paraId="07F46917" w14:textId="77777777" w:rsidR="00DE6982" w:rsidRDefault="00DE6982">
            <w:pPr>
              <w:jc w:val="center"/>
            </w:pPr>
            <w:r>
              <w:rPr>
                <w:sz w:val="20"/>
              </w:rPr>
              <w:t>9.2%</w:t>
            </w:r>
          </w:p>
        </w:tc>
        <w:tc>
          <w:tcPr>
            <w:tcW w:w="1728" w:type="dxa"/>
          </w:tcPr>
          <w:p w14:paraId="467048E2" w14:textId="77777777" w:rsidR="00DE6982" w:rsidRDefault="00DE6982">
            <w:pPr>
              <w:jc w:val="center"/>
            </w:pPr>
            <w:r>
              <w:rPr>
                <w:sz w:val="20"/>
              </w:rPr>
              <w:t>7.6%</w:t>
            </w:r>
          </w:p>
        </w:tc>
      </w:tr>
      <w:tr w:rsidR="00894480" w14:paraId="30267BE1" w14:textId="77777777" w:rsidTr="00894480">
        <w:tc>
          <w:tcPr>
            <w:tcW w:w="1728" w:type="dxa"/>
            <w:shd w:val="clear" w:color="auto" w:fill="DCE6F2"/>
          </w:tcPr>
          <w:p w14:paraId="5602CDF4" w14:textId="77777777" w:rsidR="00DE6982" w:rsidRDefault="00DE6982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728" w:type="dxa"/>
            <w:shd w:val="clear" w:color="auto" w:fill="DCE6F2"/>
          </w:tcPr>
          <w:p w14:paraId="44A3F47D" w14:textId="77777777" w:rsidR="00DE6982" w:rsidRDefault="00DE6982">
            <w:pPr>
              <w:jc w:val="center"/>
            </w:pPr>
            <w:r>
              <w:rPr>
                <w:sz w:val="20"/>
              </w:rPr>
              <w:t>新华保险</w:t>
            </w:r>
          </w:p>
        </w:tc>
        <w:tc>
          <w:tcPr>
            <w:tcW w:w="1728" w:type="dxa"/>
            <w:shd w:val="clear" w:color="auto" w:fill="DCE6F2"/>
          </w:tcPr>
          <w:p w14:paraId="60E739FF" w14:textId="77777777" w:rsidR="00DE6982" w:rsidRDefault="00DE6982">
            <w:pPr>
              <w:jc w:val="center"/>
            </w:pPr>
            <w:r>
              <w:rPr>
                <w:sz w:val="20"/>
              </w:rPr>
              <w:t>1,120</w:t>
            </w:r>
          </w:p>
        </w:tc>
        <w:tc>
          <w:tcPr>
            <w:tcW w:w="1728" w:type="dxa"/>
            <w:shd w:val="clear" w:color="auto" w:fill="DCE6F2"/>
          </w:tcPr>
          <w:p w14:paraId="21A8DCA1" w14:textId="77777777" w:rsidR="00DE6982" w:rsidRDefault="00DE6982">
            <w:pPr>
              <w:jc w:val="center"/>
            </w:pPr>
            <w:r>
              <w:rPr>
                <w:sz w:val="20"/>
              </w:rPr>
              <w:t>6.8%</w:t>
            </w:r>
          </w:p>
        </w:tc>
        <w:tc>
          <w:tcPr>
            <w:tcW w:w="1728" w:type="dxa"/>
            <w:shd w:val="clear" w:color="auto" w:fill="DCE6F2"/>
          </w:tcPr>
          <w:p w14:paraId="6624E307" w14:textId="77777777" w:rsidR="00DE6982" w:rsidRDefault="00DE6982">
            <w:pPr>
              <w:jc w:val="center"/>
            </w:pPr>
            <w:r>
              <w:rPr>
                <w:sz w:val="20"/>
              </w:rPr>
              <w:t>4.8%</w:t>
            </w:r>
          </w:p>
        </w:tc>
      </w:tr>
      <w:tr w:rsidR="00894480" w14:paraId="555945C1" w14:textId="77777777" w:rsidTr="00894480">
        <w:tc>
          <w:tcPr>
            <w:tcW w:w="1728" w:type="dxa"/>
          </w:tcPr>
          <w:p w14:paraId="4F6B35A3" w14:textId="77777777" w:rsidR="00DE6982" w:rsidRDefault="00DE6982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5EF59251" w14:textId="77777777" w:rsidR="00DE6982" w:rsidRDefault="00DE6982">
            <w:pPr>
              <w:jc w:val="center"/>
            </w:pPr>
            <w:r>
              <w:rPr>
                <w:sz w:val="20"/>
              </w:rPr>
              <w:t>泰康人寿</w:t>
            </w:r>
          </w:p>
        </w:tc>
        <w:tc>
          <w:tcPr>
            <w:tcW w:w="1728" w:type="dxa"/>
          </w:tcPr>
          <w:p w14:paraId="0DFB210B" w14:textId="77777777" w:rsidR="00DE6982" w:rsidRDefault="00DE6982">
            <w:pPr>
              <w:jc w:val="center"/>
            </w:pPr>
            <w:r>
              <w:rPr>
                <w:sz w:val="20"/>
              </w:rPr>
              <w:t>1,050</w:t>
            </w:r>
          </w:p>
        </w:tc>
        <w:tc>
          <w:tcPr>
            <w:tcW w:w="1728" w:type="dxa"/>
          </w:tcPr>
          <w:p w14:paraId="762F60E2" w14:textId="77777777" w:rsidR="00DE6982" w:rsidRDefault="00DE6982">
            <w:pPr>
              <w:jc w:val="center"/>
            </w:pPr>
            <w:r>
              <w:rPr>
                <w:sz w:val="20"/>
              </w:rPr>
              <w:t>7.5%</w:t>
            </w:r>
          </w:p>
        </w:tc>
        <w:tc>
          <w:tcPr>
            <w:tcW w:w="1728" w:type="dxa"/>
          </w:tcPr>
          <w:p w14:paraId="12A4BFA8" w14:textId="77777777" w:rsidR="00DE6982" w:rsidRDefault="00DE6982">
            <w:pPr>
              <w:jc w:val="center"/>
            </w:pPr>
            <w:r>
              <w:rPr>
                <w:sz w:val="20"/>
              </w:rPr>
              <w:t>4.5%</w:t>
            </w:r>
          </w:p>
        </w:tc>
      </w:tr>
      <w:tr w:rsidR="00894480" w14:paraId="1F5CC494" w14:textId="77777777" w:rsidTr="00894480">
        <w:tc>
          <w:tcPr>
            <w:tcW w:w="1728" w:type="dxa"/>
            <w:shd w:val="clear" w:color="auto" w:fill="DCE6F2"/>
          </w:tcPr>
          <w:p w14:paraId="5CD5E004" w14:textId="77777777" w:rsidR="00DE6982" w:rsidRDefault="00DE6982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728" w:type="dxa"/>
            <w:shd w:val="clear" w:color="auto" w:fill="DCE6F2"/>
          </w:tcPr>
          <w:p w14:paraId="13FFF0AB" w14:textId="77777777" w:rsidR="00DE6982" w:rsidRDefault="00DE6982">
            <w:pPr>
              <w:jc w:val="center"/>
            </w:pPr>
            <w:r>
              <w:rPr>
                <w:sz w:val="20"/>
              </w:rPr>
              <w:t>人保财险</w:t>
            </w:r>
          </w:p>
        </w:tc>
        <w:tc>
          <w:tcPr>
            <w:tcW w:w="1728" w:type="dxa"/>
            <w:shd w:val="clear" w:color="auto" w:fill="DCE6F2"/>
          </w:tcPr>
          <w:p w14:paraId="5CC08339" w14:textId="77777777" w:rsidR="00DE6982" w:rsidRDefault="00DE6982">
            <w:pPr>
              <w:jc w:val="center"/>
            </w:pPr>
            <w:r>
              <w:rPr>
                <w:sz w:val="20"/>
              </w:rPr>
              <w:t>2,580</w:t>
            </w:r>
          </w:p>
        </w:tc>
        <w:tc>
          <w:tcPr>
            <w:tcW w:w="1728" w:type="dxa"/>
            <w:shd w:val="clear" w:color="auto" w:fill="DCE6F2"/>
          </w:tcPr>
          <w:p w14:paraId="6076F6E6" w14:textId="77777777" w:rsidR="00DE6982" w:rsidRDefault="00DE6982">
            <w:pPr>
              <w:jc w:val="center"/>
            </w:pPr>
            <w:r>
              <w:rPr>
                <w:sz w:val="20"/>
              </w:rPr>
              <w:t>5.2%</w:t>
            </w:r>
          </w:p>
        </w:tc>
        <w:tc>
          <w:tcPr>
            <w:tcW w:w="1728" w:type="dxa"/>
            <w:shd w:val="clear" w:color="auto" w:fill="DCE6F2"/>
          </w:tcPr>
          <w:p w14:paraId="4EEAC38D" w14:textId="77777777" w:rsidR="00DE6982" w:rsidRDefault="00DE6982">
            <w:pPr>
              <w:jc w:val="center"/>
            </w:pPr>
            <w:r>
              <w:rPr>
                <w:sz w:val="20"/>
              </w:rPr>
              <w:t>11.0%</w:t>
            </w:r>
          </w:p>
        </w:tc>
      </w:tr>
      <w:tr w:rsidR="00894480" w14:paraId="7E497001" w14:textId="77777777" w:rsidTr="00894480">
        <w:tc>
          <w:tcPr>
            <w:tcW w:w="1728" w:type="dxa"/>
          </w:tcPr>
          <w:p w14:paraId="44EE18C3" w14:textId="77777777" w:rsidR="00DE6982" w:rsidRDefault="00DE6982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7D38D71D" w14:textId="77777777" w:rsidR="00DE6982" w:rsidRDefault="00DE6982">
            <w:pPr>
              <w:jc w:val="center"/>
            </w:pPr>
            <w:r>
              <w:rPr>
                <w:sz w:val="20"/>
              </w:rPr>
              <w:t>平安产险</w:t>
            </w:r>
          </w:p>
        </w:tc>
        <w:tc>
          <w:tcPr>
            <w:tcW w:w="1728" w:type="dxa"/>
          </w:tcPr>
          <w:p w14:paraId="08A1716B" w14:textId="77777777" w:rsidR="00DE6982" w:rsidRDefault="00DE6982">
            <w:pPr>
              <w:jc w:val="center"/>
            </w:pPr>
            <w:r>
              <w:rPr>
                <w:sz w:val="20"/>
              </w:rPr>
              <w:t>1,610</w:t>
            </w:r>
          </w:p>
        </w:tc>
        <w:tc>
          <w:tcPr>
            <w:tcW w:w="1728" w:type="dxa"/>
          </w:tcPr>
          <w:p w14:paraId="3488CF58" w14:textId="77777777" w:rsidR="00DE6982" w:rsidRDefault="00DE6982">
            <w:pPr>
              <w:jc w:val="center"/>
            </w:pPr>
            <w:r>
              <w:rPr>
                <w:sz w:val="20"/>
              </w:rPr>
              <w:t>6.5%</w:t>
            </w:r>
          </w:p>
        </w:tc>
        <w:tc>
          <w:tcPr>
            <w:tcW w:w="1728" w:type="dxa"/>
          </w:tcPr>
          <w:p w14:paraId="7F8722A7" w14:textId="77777777" w:rsidR="00DE6982" w:rsidRDefault="00DE6982">
            <w:pPr>
              <w:jc w:val="center"/>
            </w:pPr>
            <w:r>
              <w:rPr>
                <w:sz w:val="20"/>
              </w:rPr>
              <w:t>6.9%</w:t>
            </w:r>
          </w:p>
        </w:tc>
      </w:tr>
      <w:tr w:rsidR="00894480" w14:paraId="14F7475F" w14:textId="77777777" w:rsidTr="00894480">
        <w:tc>
          <w:tcPr>
            <w:tcW w:w="1728" w:type="dxa"/>
            <w:shd w:val="clear" w:color="auto" w:fill="DCE6F2"/>
          </w:tcPr>
          <w:p w14:paraId="625AC2A2" w14:textId="77777777" w:rsidR="00DE6982" w:rsidRDefault="00DE6982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728" w:type="dxa"/>
            <w:shd w:val="clear" w:color="auto" w:fill="DCE6F2"/>
          </w:tcPr>
          <w:p w14:paraId="4EE9ACD3" w14:textId="77777777" w:rsidR="00DE6982" w:rsidRDefault="00DE6982">
            <w:pPr>
              <w:jc w:val="center"/>
            </w:pPr>
            <w:r>
              <w:rPr>
                <w:sz w:val="20"/>
              </w:rPr>
              <w:t>太保产险</w:t>
            </w:r>
          </w:p>
        </w:tc>
        <w:tc>
          <w:tcPr>
            <w:tcW w:w="1728" w:type="dxa"/>
            <w:shd w:val="clear" w:color="auto" w:fill="DCE6F2"/>
          </w:tcPr>
          <w:p w14:paraId="7597EAAC" w14:textId="77777777" w:rsidR="00DE6982" w:rsidRDefault="00DE6982">
            <w:pPr>
              <w:jc w:val="center"/>
            </w:pPr>
            <w:r>
              <w:rPr>
                <w:sz w:val="20"/>
              </w:rPr>
              <w:t>970</w:t>
            </w:r>
          </w:p>
        </w:tc>
        <w:tc>
          <w:tcPr>
            <w:tcW w:w="1728" w:type="dxa"/>
            <w:shd w:val="clear" w:color="auto" w:fill="DCE6F2"/>
          </w:tcPr>
          <w:p w14:paraId="6012C863" w14:textId="77777777" w:rsidR="00DE6982" w:rsidRDefault="00DE6982">
            <w:pPr>
              <w:jc w:val="center"/>
            </w:pPr>
            <w:r>
              <w:rPr>
                <w:sz w:val="20"/>
              </w:rPr>
              <w:t>5.9%</w:t>
            </w:r>
          </w:p>
        </w:tc>
        <w:tc>
          <w:tcPr>
            <w:tcW w:w="1728" w:type="dxa"/>
            <w:shd w:val="clear" w:color="auto" w:fill="DCE6F2"/>
          </w:tcPr>
          <w:p w14:paraId="4B9E5A34" w14:textId="77777777" w:rsidR="00DE6982" w:rsidRDefault="00DE6982">
            <w:pPr>
              <w:jc w:val="center"/>
            </w:pPr>
            <w:r>
              <w:rPr>
                <w:sz w:val="20"/>
              </w:rPr>
              <w:t>4.1%</w:t>
            </w:r>
          </w:p>
        </w:tc>
      </w:tr>
    </w:tbl>
    <w:p w14:paraId="6D79D01D" w14:textId="77777777" w:rsidR="00F459DC" w:rsidRDefault="00F459DC"/>
    <w:p w14:paraId="7531E91C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竞争格局演变</w:t>
      </w:r>
    </w:p>
    <w:p w14:paraId="16C8CBB0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头部险企依托品牌与渠道护城河维持领先</w:t>
      </w:r>
    </w:p>
    <w:p w14:paraId="303AE3CC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腰部险企借差异化经营实现突围，特色化成为破局关键</w:t>
      </w:r>
    </w:p>
    <w:p w14:paraId="5E41E02D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部分小型险企经营承压，行业整合预期升温</w:t>
      </w:r>
    </w:p>
    <w:p w14:paraId="2041FABD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并购活动</w:t>
      </w:r>
    </w:p>
    <w:p w14:paraId="1E3CD6B7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三季度发生</w:t>
      </w:r>
      <w:r>
        <w:rPr>
          <w:color w:val="000000"/>
          <w:sz w:val="21"/>
        </w:rPr>
        <w:t>3</w:t>
      </w:r>
      <w:r>
        <w:rPr>
          <w:color w:val="000000"/>
          <w:sz w:val="21"/>
        </w:rPr>
        <w:t>起重大并购事件，涉及金额超</w:t>
      </w:r>
      <w:r>
        <w:rPr>
          <w:color w:val="000000"/>
          <w:sz w:val="21"/>
        </w:rPr>
        <w:t>65</w:t>
      </w:r>
      <w:r>
        <w:rPr>
          <w:color w:val="000000"/>
          <w:sz w:val="21"/>
        </w:rPr>
        <w:t>亿元</w:t>
      </w:r>
    </w:p>
    <w:p w14:paraId="1F05EAD9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跨界合作日益活跃，保险与医疗、养老、科技企业加速协同</w:t>
      </w:r>
    </w:p>
    <w:p w14:paraId="410F3B6F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外资险企加大中国市场布局，新增</w:t>
      </w:r>
      <w:r>
        <w:rPr>
          <w:color w:val="000000"/>
          <w:sz w:val="21"/>
        </w:rPr>
        <w:t>4</w:t>
      </w:r>
      <w:r>
        <w:rPr>
          <w:color w:val="000000"/>
          <w:sz w:val="21"/>
        </w:rPr>
        <w:t>家外资独资机构</w:t>
      </w:r>
    </w:p>
    <w:p w14:paraId="0067D86F" w14:textId="77777777" w:rsidR="00F459DC" w:rsidRDefault="00DE6982">
      <w:pPr>
        <w:spacing w:before="200" w:after="80" w:line="360" w:lineRule="auto"/>
        <w:ind w:firstLineChars="200" w:firstLine="360"/>
        <w:jc w:val="center"/>
      </w:pPr>
      <w:r>
        <w:rPr>
          <w:color w:val="AAAAAA"/>
          <w:sz w:val="18"/>
        </w:rPr>
        <w:t xml:space="preserve">———  </w:t>
      </w:r>
      <w:r>
        <w:rPr>
          <w:color w:val="AAAAAA"/>
          <w:sz w:val="18"/>
        </w:rPr>
        <w:t>内容分隔</w:t>
      </w:r>
      <w:r>
        <w:rPr>
          <w:color w:val="AAAAAA"/>
          <w:sz w:val="18"/>
        </w:rPr>
        <w:t xml:space="preserve">  ———</w:t>
      </w:r>
    </w:p>
    <w:p w14:paraId="2AE6DC43" w14:textId="77777777" w:rsidR="00F459DC" w:rsidRDefault="00DE6982">
      <w:pPr>
        <w:pStyle w:val="1"/>
        <w:spacing w:before="360" w:after="120"/>
      </w:pPr>
      <w:bookmarkStart w:id="34" w:name="_Toc236361362"/>
      <w:r>
        <w:rPr>
          <w:rFonts w:ascii="SimHei" w:eastAsia="SimHei" w:hAnsi="SimHei"/>
        </w:rPr>
        <w:lastRenderedPageBreak/>
        <w:t>第八章</w:t>
      </w:r>
      <w:r>
        <w:rPr>
          <w:rFonts w:ascii="SimHei" w:eastAsia="SimHei" w:hAnsi="SimHei"/>
        </w:rPr>
        <w:t xml:space="preserve">  </w:t>
      </w:r>
      <w:r>
        <w:rPr>
          <w:rFonts w:ascii="SimHei" w:eastAsia="SimHei" w:hAnsi="SimHei"/>
        </w:rPr>
        <w:t>趋势展望与策略建议</w:t>
      </w:r>
      <w:bookmarkEnd w:id="34"/>
    </w:p>
    <w:p w14:paraId="759CCA2F" w14:textId="77777777" w:rsidR="00F459DC" w:rsidRDefault="00DE6982">
      <w:pPr>
        <w:spacing w:after="80" w:line="360" w:lineRule="auto"/>
        <w:ind w:firstLineChars="200" w:firstLine="560"/>
      </w:pPr>
      <w:r>
        <w:rPr>
          <w:color w:val="000000"/>
        </w:rPr>
        <w:t>展望</w:t>
      </w:r>
      <w:r>
        <w:rPr>
          <w:color w:val="000000"/>
        </w:rPr>
        <w:t>2026</w:t>
      </w:r>
      <w:r>
        <w:rPr>
          <w:color w:val="000000"/>
        </w:rPr>
        <w:t>年第四季度及</w:t>
      </w:r>
      <w:r>
        <w:rPr>
          <w:color w:val="000000"/>
        </w:rPr>
        <w:t>2027</w:t>
      </w:r>
      <w:r>
        <w:rPr>
          <w:color w:val="000000"/>
        </w:rPr>
        <w:t>年，保险行业有望延续平稳发展态势，同时面临多重机遇与挑战。本报告基于季度调研数据，提出以下趋势研判与策略建议。</w:t>
      </w:r>
    </w:p>
    <w:p w14:paraId="1B055F1E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行业趋势研判</w:t>
      </w:r>
    </w:p>
    <w:p w14:paraId="381EC70F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保费增速有望维持在</w:t>
      </w:r>
      <w:r>
        <w:rPr>
          <w:color w:val="000000"/>
          <w:sz w:val="21"/>
        </w:rPr>
        <w:t>6%-8%</w:t>
      </w:r>
      <w:r>
        <w:rPr>
          <w:color w:val="000000"/>
          <w:sz w:val="21"/>
        </w:rPr>
        <w:t>区间，业务结构持续向保障型倾斜</w:t>
      </w:r>
    </w:p>
    <w:p w14:paraId="0FC75707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低利率格局短期难以逆转，资产负债匹配管理仍是经营核心命题</w:t>
      </w:r>
    </w:p>
    <w:p w14:paraId="6D627371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数字化转型步入收获期，科技投入的边际产出持续改善</w:t>
      </w:r>
    </w:p>
    <w:p w14:paraId="74F3B653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养老保险市场扩容提速，第三支柱发展空间逐步打开</w:t>
      </w:r>
    </w:p>
    <w:p w14:paraId="44A68D28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绿色保险与可持续发展相关产品迎来政策红利窗口</w:t>
      </w:r>
    </w:p>
    <w:p w14:paraId="44820CE0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经营策略建议</w:t>
      </w:r>
    </w:p>
    <w:p w14:paraId="4C34C2F1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调优产品矩阵：压降低定价利率产品比重，加大分红险、万能险布局力度</w:t>
      </w:r>
    </w:p>
    <w:p w14:paraId="1F278207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深化渠道变革：推动代理人队伍专业化、银保渠道价值化、线上渠道规模化</w:t>
      </w:r>
    </w:p>
    <w:p w14:paraId="49B3FE4A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筑牢风控防线：健全资产负债管理框架，增强极端情景应对韧性</w:t>
      </w:r>
    </w:p>
    <w:p w14:paraId="192F3C1F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加码科技投入：推动</w:t>
      </w:r>
      <w:r>
        <w:rPr>
          <w:color w:val="000000"/>
          <w:sz w:val="21"/>
        </w:rPr>
        <w:t>AI</w:t>
      </w:r>
      <w:r>
        <w:rPr>
          <w:color w:val="000000"/>
          <w:sz w:val="21"/>
        </w:rPr>
        <w:t>、大数据在核保、理赔、客服等核心环节的纵深应用</w:t>
      </w:r>
    </w:p>
    <w:p w14:paraId="44221F91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拓展生态协同：与医疗、养老、健康管理等领域共建服务生态圈</w:t>
      </w:r>
    </w:p>
    <w:p w14:paraId="6C21E141" w14:textId="77777777" w:rsidR="00F459DC" w:rsidRDefault="00DE6982">
      <w:pPr>
        <w:spacing w:before="120" w:after="40" w:line="360" w:lineRule="auto"/>
        <w:ind w:firstLineChars="200" w:firstLine="562"/>
      </w:pPr>
      <w:r>
        <w:rPr>
          <w:b/>
          <w:color w:val="000000"/>
        </w:rPr>
        <w:t>主要风险</w:t>
      </w:r>
    </w:p>
    <w:p w14:paraId="6ACB63CF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利率长期低位运行或加剧利差损风险暴露</w:t>
      </w:r>
    </w:p>
    <w:p w14:paraId="17C0FD4E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资本市场震荡对投资端收益构成压力</w:t>
      </w:r>
    </w:p>
    <w:p w14:paraId="61C24B9C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极端天气频发考验巨灾保险体系承压能力</w:t>
      </w:r>
    </w:p>
    <w:p w14:paraId="75DB9B4D" w14:textId="77777777" w:rsidR="00F459DC" w:rsidRDefault="00DE6982">
      <w:pPr>
        <w:pStyle w:val="a0"/>
        <w:spacing w:after="20" w:line="336" w:lineRule="auto"/>
      </w:pPr>
      <w:r>
        <w:rPr>
          <w:color w:val="000000"/>
          <w:sz w:val="21"/>
        </w:rPr>
        <w:t>监管规则调整可能重塑部分业务模式</w:t>
      </w:r>
    </w:p>
    <w:p w14:paraId="04E1CDF1" w14:textId="77777777" w:rsidR="00F459DC" w:rsidRDefault="00DE6982">
      <w:pPr>
        <w:spacing w:after="80" w:line="360" w:lineRule="auto"/>
        <w:ind w:firstLineChars="200" w:firstLine="560"/>
      </w:pPr>
      <w:r>
        <w:rPr>
          <w:color w:val="000000"/>
        </w:rPr>
        <w:t>总体而言，</w:t>
      </w:r>
      <w:r>
        <w:rPr>
          <w:color w:val="000000"/>
        </w:rPr>
        <w:t>2026</w:t>
      </w:r>
      <w:r>
        <w:rPr>
          <w:color w:val="000000"/>
        </w:rPr>
        <w:t>年第三季度中国保险行业保持稳健运行。在宏观经济温和修复、政策环境持续优化的背景下，行业正经历从规模扩张向质量提升的深刻转型。险企需把握数字化转型、养老保险扩容、绿色保险发展等结构性机遇，同时做好利率风险、市场风险和操作风险的防范，推动高质量发展。</w:t>
      </w:r>
    </w:p>
    <w:sectPr w:rsidR="00F459DC" w:rsidSect="00034616">
      <w:headerReference w:type="default" r:id="rId12"/>
      <w:footerReference w:type="default" r:id="rId13"/>
      <w:pgSz w:w="11906" w:h="16838"/>
      <w:pgMar w:top="1440" w:right="1803" w:bottom="1440" w:left="1803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5708C" w14:textId="77777777" w:rsidR="00DE6982" w:rsidRDefault="00DE6982">
      <w:pPr>
        <w:spacing w:after="0" w:line="240" w:lineRule="auto"/>
      </w:pPr>
      <w:r>
        <w:separator/>
      </w:r>
    </w:p>
  </w:endnote>
  <w:endnote w:type="continuationSeparator" w:id="0">
    <w:p w14:paraId="0E0D99F2" w14:textId="77777777" w:rsidR="00DE6982" w:rsidRDefault="00DE6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Zhongsong">
    <w:altName w:val="华文中宋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A3817" w14:textId="77777777" w:rsidR="00F459DC" w:rsidRDefault="00DE6982">
    <w:pPr>
      <w:pStyle w:val="a7"/>
      <w:jc w:val="center"/>
    </w:pPr>
    <w:r>
      <w:rPr>
        <w:color w:val="999999"/>
        <w:sz w:val="18"/>
      </w:rPr>
      <w:t>第</w:t>
    </w:r>
    <w:r>
      <w:rPr>
        <w:color w:val="999999"/>
        <w:sz w:val="18"/>
      </w:rPr>
      <w:t xml:space="preserve"> </w:t>
    </w:r>
    <w:r>
      <w:rPr>
        <w:color w:val="999999"/>
        <w:sz w:val="18"/>
      </w:rPr>
      <w:fldChar w:fldCharType="begin"/>
    </w:r>
    <w:r>
      <w:rPr>
        <w:color w:val="999999"/>
        <w:sz w:val="18"/>
      </w:rPr>
      <w:instrText>PAGE</w:instrText>
    </w:r>
    <w:r>
      <w:rPr>
        <w:color w:val="999999"/>
        <w:sz w:val="18"/>
      </w:rPr>
      <w:fldChar w:fldCharType="separate"/>
    </w:r>
    <w:r>
      <w:rPr>
        <w:color w:val="999999"/>
        <w:sz w:val="18"/>
      </w:rPr>
      <w:t>1</w:t>
    </w:r>
    <w:r>
      <w:rPr>
        <w:color w:val="999999"/>
        <w:sz w:val="18"/>
      </w:rPr>
      <w:fldChar w:fldCharType="end"/>
    </w:r>
    <w:r>
      <w:rPr>
        <w:color w:val="999999"/>
        <w:sz w:val="18"/>
      </w:rPr>
      <w:t xml:space="preserve"> </w:t>
    </w:r>
    <w:r>
      <w:rPr>
        <w:color w:val="999999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2A100" w14:textId="77777777" w:rsidR="00DE6982" w:rsidRDefault="00DE6982">
      <w:pPr>
        <w:spacing w:after="0" w:line="240" w:lineRule="auto"/>
      </w:pPr>
      <w:r>
        <w:separator/>
      </w:r>
    </w:p>
  </w:footnote>
  <w:footnote w:type="continuationSeparator" w:id="0">
    <w:p w14:paraId="78DA0266" w14:textId="77777777" w:rsidR="00DE6982" w:rsidRDefault="00DE6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7CD0" w14:textId="77777777" w:rsidR="00F459DC" w:rsidRDefault="00DE6982">
    <w:pPr>
      <w:pStyle w:val="a5"/>
      <w:pBdr>
        <w:bottom w:val="single" w:sz="4" w:space="1" w:color="1F3864"/>
      </w:pBdr>
      <w:spacing w:after="40"/>
      <w:jc w:val="center"/>
    </w:pPr>
    <w:r>
      <w:rPr>
        <w:color w:val="999999"/>
        <w:sz w:val="18"/>
      </w:rPr>
      <w:t>中国保险行业调研报告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8317541">
    <w:abstractNumId w:val="8"/>
  </w:num>
  <w:num w:numId="2" w16cid:durableId="1569993406">
    <w:abstractNumId w:val="6"/>
  </w:num>
  <w:num w:numId="3" w16cid:durableId="2042586497">
    <w:abstractNumId w:val="5"/>
  </w:num>
  <w:num w:numId="4" w16cid:durableId="1628124292">
    <w:abstractNumId w:val="4"/>
  </w:num>
  <w:num w:numId="5" w16cid:durableId="349526462">
    <w:abstractNumId w:val="7"/>
  </w:num>
  <w:num w:numId="6" w16cid:durableId="1500803698">
    <w:abstractNumId w:val="3"/>
  </w:num>
  <w:num w:numId="7" w16cid:durableId="819887847">
    <w:abstractNumId w:val="2"/>
  </w:num>
  <w:num w:numId="8" w16cid:durableId="1810317282">
    <w:abstractNumId w:val="1"/>
  </w:num>
  <w:num w:numId="9" w16cid:durableId="8253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5E40"/>
    <w:rsid w:val="0029639D"/>
    <w:rsid w:val="00326F90"/>
    <w:rsid w:val="009A125E"/>
    <w:rsid w:val="00AA1D8D"/>
    <w:rsid w:val="00B47730"/>
    <w:rsid w:val="00CB0664"/>
    <w:rsid w:val="00DE6982"/>
    <w:rsid w:val="00F45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9BB2C4"/>
  <w14:defaultImageDpi w14:val="300"/>
  <w15:docId w15:val="{A996C47B-668B-4065-BB4A-5AAC4A6BB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55E40"/>
    <w:pPr>
      <w:spacing w:after="100"/>
    </w:pPr>
  </w:style>
  <w:style w:type="paragraph" w:styleId="TOC2">
    <w:name w:val="toc 2"/>
    <w:basedOn w:val="a1"/>
    <w:next w:val="a1"/>
    <w:autoRedefine/>
    <w:uiPriority w:val="39"/>
    <w:unhideWhenUsed/>
    <w:rsid w:val="00255E40"/>
    <w:pPr>
      <w:spacing w:after="100"/>
      <w:ind w:left="280"/>
    </w:pPr>
  </w:style>
  <w:style w:type="paragraph" w:styleId="TOC3">
    <w:name w:val="toc 3"/>
    <w:basedOn w:val="a1"/>
    <w:next w:val="a1"/>
    <w:autoRedefine/>
    <w:uiPriority w:val="39"/>
    <w:unhideWhenUsed/>
    <w:rsid w:val="00255E40"/>
    <w:pPr>
      <w:spacing w:after="100"/>
      <w:ind w:left="560"/>
    </w:pPr>
  </w:style>
  <w:style w:type="character" w:styleId="aff9">
    <w:name w:val="Hyperlink"/>
    <w:basedOn w:val="a2"/>
    <w:uiPriority w:val="99"/>
    <w:unhideWhenUsed/>
    <w:rsid w:val="00255E4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1485</Words>
  <Characters>8469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Zijun Meng</cp:lastModifiedBy>
  <cp:revision>2</cp:revision>
  <dcterms:created xsi:type="dcterms:W3CDTF">2013-12-23T23:15:00Z</dcterms:created>
  <dcterms:modified xsi:type="dcterms:W3CDTF">2026-07-30T19:34:00Z</dcterms:modified>
  <cp:category/>
</cp:coreProperties>
</file>