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C634B" w14:textId="77777777" w:rsidR="00142BD9" w:rsidRDefault="00000000">
      <w:pPr>
        <w:spacing w:before="160" w:after="120"/>
        <w:rPr>
          <w:lang w:eastAsia="zh-CN"/>
        </w:rPr>
      </w:pPr>
      <w:r>
        <w:rPr>
          <w:rFonts w:ascii="Arial" w:eastAsia="黑体" w:hAnsi="Arial"/>
          <w:b/>
          <w:color w:val="404040"/>
          <w:sz w:val="25"/>
          <w:lang w:eastAsia="zh-CN"/>
        </w:rPr>
        <w:t xml:space="preserve">2.1.1  </w:t>
      </w:r>
      <w:r>
        <w:rPr>
          <w:rFonts w:ascii="Arial" w:eastAsia="黑体" w:hAnsi="Arial"/>
          <w:b/>
          <w:color w:val="404040"/>
          <w:sz w:val="25"/>
          <w:lang w:eastAsia="zh-CN"/>
        </w:rPr>
        <w:t>宏观经济运行情况</w:t>
      </w:r>
    </w:p>
    <w:p w14:paraId="771A27B5" w14:textId="77777777" w:rsidR="00142BD9" w:rsidRDefault="00000000">
      <w:pPr>
        <w:spacing w:after="80"/>
        <w:ind w:firstLine="480"/>
        <w:rPr>
          <w:lang w:eastAsia="zh-CN"/>
        </w:rPr>
      </w:pPr>
      <w:r>
        <w:rPr>
          <w:lang w:eastAsia="zh-CN"/>
        </w:rPr>
        <w:t>2026</w:t>
      </w:r>
      <w:r>
        <w:rPr>
          <w:lang w:eastAsia="zh-CN"/>
        </w:rPr>
        <w:t>年第二季度，中国经济延续了平稳恢复态势。国家统计局数据显示，二季度</w:t>
      </w:r>
      <w:r>
        <w:rPr>
          <w:lang w:eastAsia="zh-CN"/>
        </w:rPr>
        <w:t>GDP</w:t>
      </w:r>
      <w:r>
        <w:rPr>
          <w:lang w:eastAsia="zh-CN"/>
        </w:rPr>
        <w:t>同比增长</w:t>
      </w:r>
      <w:r>
        <w:rPr>
          <w:lang w:eastAsia="zh-CN"/>
        </w:rPr>
        <w:t>5.1%</w:t>
      </w:r>
      <w:r>
        <w:rPr>
          <w:lang w:eastAsia="zh-CN"/>
        </w:rPr>
        <w:t>，环比增长</w:t>
      </w:r>
      <w:r>
        <w:rPr>
          <w:lang w:eastAsia="zh-CN"/>
        </w:rPr>
        <w:t>1.3%</w:t>
      </w:r>
      <w:r>
        <w:rPr>
          <w:lang w:eastAsia="zh-CN"/>
        </w:rPr>
        <w:t>，经济运行总体保持在合理区间。</w:t>
      </w:r>
    </w:p>
    <w:p w14:paraId="4172476F" w14:textId="77777777" w:rsidR="00142BD9" w:rsidRDefault="00000000">
      <w:pPr>
        <w:spacing w:before="120" w:after="40"/>
      </w:pPr>
      <w:proofErr w:type="spellStart"/>
      <w:r>
        <w:rPr>
          <w:b/>
        </w:rPr>
        <w:t>增长结构</w:t>
      </w:r>
      <w:proofErr w:type="spellEnd"/>
    </w:p>
    <w:p w14:paraId="582B50C1" w14:textId="77777777" w:rsidR="00142BD9" w:rsidRDefault="00000000">
      <w:pPr>
        <w:pStyle w:val="a0"/>
        <w:spacing w:after="20"/>
        <w:rPr>
          <w:lang w:eastAsia="zh-CN"/>
        </w:rPr>
      </w:pPr>
      <w:r>
        <w:rPr>
          <w:sz w:val="21"/>
          <w:lang w:eastAsia="zh-CN"/>
        </w:rPr>
        <w:t>消费端：社会消费品零售总额同比增长</w:t>
      </w:r>
      <w:r>
        <w:rPr>
          <w:sz w:val="21"/>
          <w:lang w:eastAsia="zh-CN"/>
        </w:rPr>
        <w:t>4.2%</w:t>
      </w:r>
      <w:r>
        <w:rPr>
          <w:sz w:val="21"/>
          <w:lang w:eastAsia="zh-CN"/>
        </w:rPr>
        <w:t>，服务消费表现亮眼</w:t>
      </w:r>
    </w:p>
    <w:p w14:paraId="10C5D761" w14:textId="77777777" w:rsidR="00142BD9" w:rsidRDefault="00000000">
      <w:pPr>
        <w:pStyle w:val="a0"/>
        <w:spacing w:after="20"/>
        <w:rPr>
          <w:lang w:eastAsia="zh-CN"/>
        </w:rPr>
      </w:pPr>
      <w:r>
        <w:rPr>
          <w:sz w:val="21"/>
          <w:lang w:eastAsia="zh-CN"/>
        </w:rPr>
        <w:t>投资端：固定资产投资同比增长</w:t>
      </w:r>
      <w:r>
        <w:rPr>
          <w:sz w:val="21"/>
          <w:lang w:eastAsia="zh-CN"/>
        </w:rPr>
        <w:t>4.8%</w:t>
      </w:r>
      <w:r>
        <w:rPr>
          <w:sz w:val="21"/>
          <w:lang w:eastAsia="zh-CN"/>
        </w:rPr>
        <w:t>，制造业投资增速回升</w:t>
      </w:r>
    </w:p>
    <w:p w14:paraId="10E460DC" w14:textId="77777777" w:rsidR="00142BD9" w:rsidRDefault="00000000">
      <w:pPr>
        <w:pStyle w:val="a0"/>
        <w:spacing w:after="20"/>
        <w:rPr>
          <w:lang w:eastAsia="zh-CN"/>
        </w:rPr>
      </w:pPr>
      <w:r>
        <w:rPr>
          <w:sz w:val="21"/>
          <w:lang w:eastAsia="zh-CN"/>
        </w:rPr>
        <w:t>出口端：货物贸易出口同比增长</w:t>
      </w:r>
      <w:r>
        <w:rPr>
          <w:sz w:val="21"/>
          <w:lang w:eastAsia="zh-CN"/>
        </w:rPr>
        <w:t>3.5%</w:t>
      </w:r>
      <w:r>
        <w:rPr>
          <w:sz w:val="21"/>
          <w:lang w:eastAsia="zh-CN"/>
        </w:rPr>
        <w:t>，贸易结构持续优化</w:t>
      </w:r>
    </w:p>
    <w:p w14:paraId="24648960" w14:textId="77777777" w:rsidR="00142BD9" w:rsidRDefault="00000000">
      <w:pPr>
        <w:spacing w:before="120" w:after="40"/>
      </w:pPr>
      <w:proofErr w:type="spellStart"/>
      <w:r>
        <w:rPr>
          <w:b/>
        </w:rPr>
        <w:t>物价水平</w:t>
      </w:r>
      <w:proofErr w:type="spellEnd"/>
    </w:p>
    <w:p w14:paraId="3FF6FD38" w14:textId="77777777" w:rsidR="00142BD9" w:rsidRDefault="00000000">
      <w:pPr>
        <w:pStyle w:val="a0"/>
        <w:spacing w:after="20"/>
        <w:rPr>
          <w:lang w:eastAsia="zh-CN"/>
        </w:rPr>
      </w:pPr>
      <w:r>
        <w:rPr>
          <w:sz w:val="21"/>
          <w:lang w:eastAsia="zh-CN"/>
        </w:rPr>
        <w:t>CPI</w:t>
      </w:r>
      <w:r>
        <w:rPr>
          <w:sz w:val="21"/>
          <w:lang w:eastAsia="zh-CN"/>
        </w:rPr>
        <w:t>同比上涨</w:t>
      </w:r>
      <w:r>
        <w:rPr>
          <w:sz w:val="21"/>
          <w:lang w:eastAsia="zh-CN"/>
        </w:rPr>
        <w:t>0.8%</w:t>
      </w:r>
      <w:r>
        <w:rPr>
          <w:sz w:val="21"/>
          <w:lang w:eastAsia="zh-CN"/>
        </w:rPr>
        <w:t>，通胀水平温和可控</w:t>
      </w:r>
    </w:p>
    <w:p w14:paraId="015D22EA" w14:textId="77777777" w:rsidR="00142BD9" w:rsidRDefault="00000000">
      <w:pPr>
        <w:pStyle w:val="a0"/>
        <w:spacing w:after="20"/>
        <w:rPr>
          <w:lang w:eastAsia="zh-CN"/>
        </w:rPr>
      </w:pPr>
      <w:r>
        <w:rPr>
          <w:sz w:val="21"/>
          <w:lang w:eastAsia="zh-CN"/>
        </w:rPr>
        <w:t>PPI</w:t>
      </w:r>
      <w:r>
        <w:rPr>
          <w:sz w:val="21"/>
          <w:lang w:eastAsia="zh-CN"/>
        </w:rPr>
        <w:t>同比下降</w:t>
      </w:r>
      <w:r>
        <w:rPr>
          <w:sz w:val="21"/>
          <w:lang w:eastAsia="zh-CN"/>
        </w:rPr>
        <w:t>0.3%</w:t>
      </w:r>
      <w:r>
        <w:rPr>
          <w:sz w:val="21"/>
          <w:lang w:eastAsia="zh-CN"/>
        </w:rPr>
        <w:t>，工业品价格仍在低位徘徊</w:t>
      </w:r>
    </w:p>
    <w:p w14:paraId="6D112F1D" w14:textId="77777777" w:rsidR="00142BD9" w:rsidRDefault="00000000">
      <w:pPr>
        <w:pStyle w:val="a0"/>
        <w:spacing w:after="20"/>
        <w:rPr>
          <w:lang w:eastAsia="zh-CN"/>
        </w:rPr>
      </w:pPr>
      <w:r>
        <w:rPr>
          <w:sz w:val="21"/>
          <w:lang w:eastAsia="zh-CN"/>
        </w:rPr>
        <w:t>核心</w:t>
      </w:r>
      <w:r>
        <w:rPr>
          <w:sz w:val="21"/>
          <w:lang w:eastAsia="zh-CN"/>
        </w:rPr>
        <w:t>CPI</w:t>
      </w:r>
      <w:r>
        <w:rPr>
          <w:sz w:val="21"/>
          <w:lang w:eastAsia="zh-CN"/>
        </w:rPr>
        <w:t>同比上涨</w:t>
      </w:r>
      <w:r>
        <w:rPr>
          <w:sz w:val="21"/>
          <w:lang w:eastAsia="zh-CN"/>
        </w:rPr>
        <w:t>0.7%</w:t>
      </w:r>
      <w:r>
        <w:rPr>
          <w:sz w:val="21"/>
          <w:lang w:eastAsia="zh-CN"/>
        </w:rPr>
        <w:t>，需求端复苏仍有空间</w:t>
      </w:r>
    </w:p>
    <w:p w14:paraId="47497002" w14:textId="77777777" w:rsidR="00142BD9" w:rsidRDefault="00000000">
      <w:pPr>
        <w:spacing w:before="120" w:after="40"/>
      </w:pPr>
      <w:proofErr w:type="spellStart"/>
      <w:r>
        <w:rPr>
          <w:b/>
        </w:rPr>
        <w:t>就业形势</w:t>
      </w:r>
      <w:proofErr w:type="spellEnd"/>
    </w:p>
    <w:p w14:paraId="675AE77F" w14:textId="77777777" w:rsidR="00142BD9" w:rsidRDefault="00000000">
      <w:pPr>
        <w:pStyle w:val="a0"/>
        <w:spacing w:after="20"/>
        <w:rPr>
          <w:lang w:eastAsia="zh-CN"/>
        </w:rPr>
      </w:pPr>
      <w:r>
        <w:rPr>
          <w:sz w:val="21"/>
          <w:lang w:eastAsia="zh-CN"/>
        </w:rPr>
        <w:t>城镇调查失业率均值为</w:t>
      </w:r>
      <w:r>
        <w:rPr>
          <w:sz w:val="21"/>
          <w:lang w:eastAsia="zh-CN"/>
        </w:rPr>
        <w:t>5.1%</w:t>
      </w:r>
      <w:r>
        <w:rPr>
          <w:sz w:val="21"/>
          <w:lang w:eastAsia="zh-CN"/>
        </w:rPr>
        <w:t>，较一季度下降</w:t>
      </w:r>
      <w:r>
        <w:rPr>
          <w:sz w:val="21"/>
          <w:lang w:eastAsia="zh-CN"/>
        </w:rPr>
        <w:t>0.2</w:t>
      </w:r>
      <w:r>
        <w:rPr>
          <w:sz w:val="21"/>
          <w:lang w:eastAsia="zh-CN"/>
        </w:rPr>
        <w:t>个百分点</w:t>
      </w:r>
    </w:p>
    <w:p w14:paraId="256FED1F" w14:textId="77777777" w:rsidR="00142BD9" w:rsidRDefault="00000000">
      <w:pPr>
        <w:pStyle w:val="a0"/>
        <w:spacing w:after="20"/>
        <w:rPr>
          <w:lang w:eastAsia="zh-CN"/>
        </w:rPr>
      </w:pPr>
      <w:r>
        <w:rPr>
          <w:sz w:val="21"/>
          <w:lang w:eastAsia="zh-CN"/>
        </w:rPr>
        <w:t>服务业就业吸纳能力增强，新增就业主要来自现代服务业</w:t>
      </w:r>
    </w:p>
    <w:p w14:paraId="51E88D03" w14:textId="77777777" w:rsidR="00142BD9" w:rsidRDefault="00000000">
      <w:pPr>
        <w:spacing w:after="80"/>
        <w:ind w:firstLine="480"/>
        <w:rPr>
          <w:lang w:eastAsia="zh-CN"/>
        </w:rPr>
      </w:pPr>
      <w:r>
        <w:rPr>
          <w:lang w:eastAsia="zh-CN"/>
        </w:rPr>
        <w:t>宏观经济环境的温和复苏为保险行业奠定了良好基础，居民收入预期的改善有助于提</w:t>
      </w:r>
      <w:proofErr w:type="gramStart"/>
      <w:r>
        <w:rPr>
          <w:lang w:eastAsia="zh-CN"/>
        </w:rPr>
        <w:t>振保险</w:t>
      </w:r>
      <w:proofErr w:type="gramEnd"/>
      <w:r>
        <w:rPr>
          <w:lang w:eastAsia="zh-CN"/>
        </w:rPr>
        <w:t>消费意愿。</w:t>
      </w:r>
    </w:p>
    <w:p w14:paraId="61768241" w14:textId="5807BE44" w:rsidR="00142BD9" w:rsidRDefault="00142BD9" w:rsidP="005579F5">
      <w:pPr>
        <w:spacing w:before="200"/>
        <w:rPr>
          <w:lang w:eastAsia="zh-CN"/>
        </w:rPr>
      </w:pPr>
    </w:p>
    <w:p w14:paraId="1A6FF379" w14:textId="77777777" w:rsidR="00142BD9" w:rsidRDefault="00000000">
      <w:pPr>
        <w:spacing w:before="240" w:after="120"/>
        <w:rPr>
          <w:lang w:eastAsia="zh-CN"/>
        </w:rPr>
      </w:pPr>
      <w:r>
        <w:rPr>
          <w:rFonts w:ascii="Arial" w:eastAsia="黑体" w:hAnsi="Arial"/>
          <w:b/>
          <w:color w:val="1F3864"/>
          <w:sz w:val="32"/>
          <w:lang w:eastAsia="zh-CN"/>
        </w:rPr>
        <w:t>第一章</w:t>
      </w:r>
      <w:r>
        <w:rPr>
          <w:rFonts w:ascii="Arial" w:eastAsia="黑体" w:hAnsi="Arial"/>
          <w:b/>
          <w:color w:val="1F3864"/>
          <w:sz w:val="32"/>
          <w:lang w:eastAsia="zh-CN"/>
        </w:rPr>
        <w:t xml:space="preserve">  </w:t>
      </w:r>
      <w:r>
        <w:rPr>
          <w:rFonts w:ascii="Arial" w:eastAsia="黑体" w:hAnsi="Arial"/>
          <w:b/>
          <w:color w:val="1F3864"/>
          <w:sz w:val="32"/>
          <w:lang w:eastAsia="zh-CN"/>
        </w:rPr>
        <w:t>报告概述</w:t>
      </w:r>
    </w:p>
    <w:p w14:paraId="53DC2619" w14:textId="77777777" w:rsidR="00142BD9" w:rsidRDefault="00000000">
      <w:pPr>
        <w:spacing w:after="80"/>
        <w:ind w:firstLine="480"/>
        <w:rPr>
          <w:lang w:eastAsia="zh-CN"/>
        </w:rPr>
      </w:pPr>
      <w:r>
        <w:rPr>
          <w:lang w:eastAsia="zh-CN"/>
        </w:rPr>
        <w:t>本报告基于</w:t>
      </w:r>
      <w:r>
        <w:rPr>
          <w:lang w:eastAsia="zh-CN"/>
        </w:rPr>
        <w:t>2026</w:t>
      </w:r>
      <w:r>
        <w:rPr>
          <w:lang w:eastAsia="zh-CN"/>
        </w:rPr>
        <w:t>年第二季度中国保险行业的运行数据，从市场环境、保费收入、产品创新、渠道分析、风险管理、竞争格局等多个维度对行业进行了系统性调研与分析。本季度调研覆盖全国</w:t>
      </w:r>
      <w:r>
        <w:rPr>
          <w:lang w:eastAsia="zh-CN"/>
        </w:rPr>
        <w:t>31</w:t>
      </w:r>
      <w:r>
        <w:rPr>
          <w:lang w:eastAsia="zh-CN"/>
        </w:rPr>
        <w:t>个省级行政区的</w:t>
      </w:r>
      <w:r>
        <w:rPr>
          <w:lang w:eastAsia="zh-CN"/>
        </w:rPr>
        <w:t>145</w:t>
      </w:r>
      <w:r>
        <w:rPr>
          <w:lang w:eastAsia="zh-CN"/>
        </w:rPr>
        <w:t>家保险机构，采集有效样本超过</w:t>
      </w:r>
      <w:r>
        <w:rPr>
          <w:lang w:eastAsia="zh-CN"/>
        </w:rPr>
        <w:t>12,000</w:t>
      </w:r>
      <w:r>
        <w:rPr>
          <w:lang w:eastAsia="zh-CN"/>
        </w:rPr>
        <w:t>份，力求全面、客观地反映行业运行态势。</w:t>
      </w:r>
    </w:p>
    <w:p w14:paraId="3FAE6F50" w14:textId="77777777" w:rsidR="00142BD9" w:rsidRDefault="00000000">
      <w:pPr>
        <w:spacing w:before="120" w:after="40"/>
      </w:pPr>
      <w:proofErr w:type="spellStart"/>
      <w:r>
        <w:rPr>
          <w:b/>
        </w:rPr>
        <w:t>调研背景与目的</w:t>
      </w:r>
      <w:proofErr w:type="spellEnd"/>
    </w:p>
    <w:p w14:paraId="21F12EED" w14:textId="77777777" w:rsidR="00142BD9" w:rsidRDefault="00000000">
      <w:pPr>
        <w:pStyle w:val="a0"/>
        <w:spacing w:after="20"/>
        <w:rPr>
          <w:lang w:eastAsia="zh-CN"/>
        </w:rPr>
      </w:pPr>
      <w:r>
        <w:rPr>
          <w:sz w:val="21"/>
          <w:lang w:eastAsia="zh-CN"/>
        </w:rPr>
        <w:t>跟踪监测保险行业季度运行态势，捕捉市场结构性变化</w:t>
      </w:r>
    </w:p>
    <w:p w14:paraId="3CA1EBED" w14:textId="77777777" w:rsidR="00142BD9" w:rsidRDefault="00000000">
      <w:pPr>
        <w:pStyle w:val="a0"/>
        <w:spacing w:after="20"/>
        <w:rPr>
          <w:lang w:eastAsia="zh-CN"/>
        </w:rPr>
      </w:pPr>
      <w:r>
        <w:rPr>
          <w:sz w:val="21"/>
          <w:lang w:eastAsia="zh-CN"/>
        </w:rPr>
        <w:t>分析宏观经济与政策环境对保险行业的影响路径</w:t>
      </w:r>
    </w:p>
    <w:p w14:paraId="2AE4B4EC" w14:textId="77777777" w:rsidR="00142BD9" w:rsidRDefault="00000000">
      <w:pPr>
        <w:pStyle w:val="a0"/>
        <w:spacing w:after="20"/>
        <w:rPr>
          <w:lang w:eastAsia="zh-CN"/>
        </w:rPr>
      </w:pPr>
      <w:r>
        <w:rPr>
          <w:sz w:val="21"/>
          <w:lang w:eastAsia="zh-CN"/>
        </w:rPr>
        <w:t>评估产品创新与渠道转型的进展与成效</w:t>
      </w:r>
    </w:p>
    <w:p w14:paraId="22FD82B3" w14:textId="77777777" w:rsidR="00142BD9" w:rsidRDefault="00000000">
      <w:pPr>
        <w:pStyle w:val="a0"/>
        <w:spacing w:after="20"/>
        <w:rPr>
          <w:lang w:eastAsia="zh-CN"/>
        </w:rPr>
      </w:pPr>
      <w:r>
        <w:rPr>
          <w:sz w:val="21"/>
          <w:lang w:eastAsia="zh-CN"/>
        </w:rPr>
        <w:t>为行业参与者提供数据支撑与决策参考</w:t>
      </w:r>
    </w:p>
    <w:p w14:paraId="728BD302" w14:textId="77777777" w:rsidR="00142BD9" w:rsidRDefault="00000000">
      <w:pPr>
        <w:spacing w:before="120" w:after="40"/>
      </w:pPr>
      <w:proofErr w:type="spellStart"/>
      <w:r>
        <w:rPr>
          <w:b/>
        </w:rPr>
        <w:t>调研范围与方法</w:t>
      </w:r>
      <w:proofErr w:type="spellEnd"/>
    </w:p>
    <w:p w14:paraId="792AE697" w14:textId="77777777" w:rsidR="00142BD9" w:rsidRDefault="00000000">
      <w:pPr>
        <w:pStyle w:val="a0"/>
        <w:spacing w:after="20"/>
        <w:rPr>
          <w:lang w:eastAsia="zh-CN"/>
        </w:rPr>
      </w:pPr>
      <w:r>
        <w:rPr>
          <w:sz w:val="21"/>
          <w:lang w:eastAsia="zh-CN"/>
        </w:rPr>
        <w:t>数据来源：国家金融监督管理总局公开数据、行业协会统计、企业财报、实地调研访谈</w:t>
      </w:r>
    </w:p>
    <w:p w14:paraId="7DDD1A39" w14:textId="77777777" w:rsidR="00142BD9" w:rsidRDefault="00000000">
      <w:pPr>
        <w:pStyle w:val="a0"/>
        <w:spacing w:after="20"/>
        <w:rPr>
          <w:lang w:eastAsia="zh-CN"/>
        </w:rPr>
      </w:pPr>
      <w:r>
        <w:rPr>
          <w:sz w:val="21"/>
          <w:lang w:eastAsia="zh-CN"/>
        </w:rPr>
        <w:t>覆盖范围：人身险公司</w:t>
      </w:r>
      <w:r>
        <w:rPr>
          <w:sz w:val="21"/>
          <w:lang w:eastAsia="zh-CN"/>
        </w:rPr>
        <w:t>78</w:t>
      </w:r>
      <w:r>
        <w:rPr>
          <w:sz w:val="21"/>
          <w:lang w:eastAsia="zh-CN"/>
        </w:rPr>
        <w:t>家、财产险公司</w:t>
      </w:r>
      <w:r>
        <w:rPr>
          <w:sz w:val="21"/>
          <w:lang w:eastAsia="zh-CN"/>
        </w:rPr>
        <w:t>67</w:t>
      </w:r>
      <w:r>
        <w:rPr>
          <w:sz w:val="21"/>
          <w:lang w:eastAsia="zh-CN"/>
        </w:rPr>
        <w:t>家，涵盖主要保险业态</w:t>
      </w:r>
    </w:p>
    <w:p w14:paraId="26440827" w14:textId="77777777" w:rsidR="00142BD9" w:rsidRDefault="00000000">
      <w:pPr>
        <w:pStyle w:val="a0"/>
        <w:spacing w:after="20"/>
        <w:rPr>
          <w:lang w:eastAsia="zh-CN"/>
        </w:rPr>
      </w:pPr>
      <w:r>
        <w:rPr>
          <w:sz w:val="21"/>
          <w:lang w:eastAsia="zh-CN"/>
        </w:rPr>
        <w:t>分析方法：定量分析与定性研究相结合，横向对比与纵向追踪相补充</w:t>
      </w:r>
    </w:p>
    <w:p w14:paraId="1AF974FF" w14:textId="77777777" w:rsidR="00142BD9" w:rsidRDefault="00000000">
      <w:pPr>
        <w:spacing w:before="120" w:after="40"/>
      </w:pPr>
      <w:proofErr w:type="spellStart"/>
      <w:r>
        <w:rPr>
          <w:b/>
        </w:rPr>
        <w:t>核心发现摘要</w:t>
      </w:r>
      <w:proofErr w:type="spellEnd"/>
    </w:p>
    <w:p w14:paraId="6F0A1048" w14:textId="77777777" w:rsidR="00142BD9" w:rsidRDefault="00000000">
      <w:pPr>
        <w:pStyle w:val="a0"/>
        <w:spacing w:after="20"/>
        <w:rPr>
          <w:lang w:eastAsia="zh-CN"/>
        </w:rPr>
      </w:pPr>
      <w:r>
        <w:rPr>
          <w:sz w:val="21"/>
          <w:lang w:eastAsia="zh-CN"/>
        </w:rPr>
        <w:t>行业保费收入实现稳健增长，二季度原保险保费收入</w:t>
      </w:r>
      <w:r>
        <w:rPr>
          <w:sz w:val="21"/>
          <w:lang w:eastAsia="zh-CN"/>
        </w:rPr>
        <w:t>2.18</w:t>
      </w:r>
      <w:proofErr w:type="gramStart"/>
      <w:r>
        <w:rPr>
          <w:sz w:val="21"/>
          <w:lang w:eastAsia="zh-CN"/>
        </w:rPr>
        <w:t>万亿</w:t>
      </w:r>
      <w:proofErr w:type="gramEnd"/>
      <w:r>
        <w:rPr>
          <w:sz w:val="21"/>
          <w:lang w:eastAsia="zh-CN"/>
        </w:rPr>
        <w:t>元，同比增长</w:t>
      </w:r>
      <w:r>
        <w:rPr>
          <w:sz w:val="21"/>
          <w:lang w:eastAsia="zh-CN"/>
        </w:rPr>
        <w:t>6.8%</w:t>
      </w:r>
    </w:p>
    <w:p w14:paraId="701F9C74" w14:textId="77777777" w:rsidR="00142BD9" w:rsidRDefault="00000000">
      <w:pPr>
        <w:pStyle w:val="a0"/>
        <w:spacing w:after="20"/>
        <w:rPr>
          <w:lang w:eastAsia="zh-CN"/>
        </w:rPr>
      </w:pPr>
      <w:r>
        <w:rPr>
          <w:sz w:val="21"/>
          <w:lang w:eastAsia="zh-CN"/>
        </w:rPr>
        <w:lastRenderedPageBreak/>
        <w:t>数字化转型加速推进，线</w:t>
      </w:r>
      <w:proofErr w:type="gramStart"/>
      <w:r>
        <w:rPr>
          <w:sz w:val="21"/>
          <w:lang w:eastAsia="zh-CN"/>
        </w:rPr>
        <w:t>上渠道</w:t>
      </w:r>
      <w:proofErr w:type="gramEnd"/>
      <w:r>
        <w:rPr>
          <w:sz w:val="21"/>
          <w:lang w:eastAsia="zh-CN"/>
        </w:rPr>
        <w:t>保费占比首次突破</w:t>
      </w:r>
      <w:r>
        <w:rPr>
          <w:sz w:val="21"/>
          <w:lang w:eastAsia="zh-CN"/>
        </w:rPr>
        <w:t>20%</w:t>
      </w:r>
    </w:p>
    <w:p w14:paraId="07C2098D" w14:textId="77777777" w:rsidR="00142BD9" w:rsidRDefault="00000000">
      <w:pPr>
        <w:pStyle w:val="a0"/>
        <w:spacing w:after="20"/>
        <w:rPr>
          <w:lang w:eastAsia="zh-CN"/>
        </w:rPr>
      </w:pPr>
      <w:r>
        <w:rPr>
          <w:sz w:val="21"/>
          <w:lang w:eastAsia="zh-CN"/>
        </w:rPr>
        <w:t>健康</w:t>
      </w:r>
      <w:proofErr w:type="gramStart"/>
      <w:r>
        <w:rPr>
          <w:sz w:val="21"/>
          <w:lang w:eastAsia="zh-CN"/>
        </w:rPr>
        <w:t>险持续</w:t>
      </w:r>
      <w:proofErr w:type="gramEnd"/>
      <w:r>
        <w:rPr>
          <w:sz w:val="21"/>
          <w:lang w:eastAsia="zh-CN"/>
        </w:rPr>
        <w:t>高增长，同比增幅达</w:t>
      </w:r>
      <w:r>
        <w:rPr>
          <w:sz w:val="21"/>
          <w:lang w:eastAsia="zh-CN"/>
        </w:rPr>
        <w:t>12.3%</w:t>
      </w:r>
      <w:r>
        <w:rPr>
          <w:sz w:val="21"/>
          <w:lang w:eastAsia="zh-CN"/>
        </w:rPr>
        <w:t>，成为人身险增长核心驱动力</w:t>
      </w:r>
    </w:p>
    <w:p w14:paraId="39F51FFE" w14:textId="77777777" w:rsidR="00142BD9" w:rsidRDefault="00000000">
      <w:pPr>
        <w:pStyle w:val="a0"/>
        <w:spacing w:after="20"/>
        <w:rPr>
          <w:lang w:eastAsia="zh-CN"/>
        </w:rPr>
      </w:pPr>
      <w:r>
        <w:rPr>
          <w:sz w:val="21"/>
          <w:lang w:eastAsia="zh-CN"/>
        </w:rPr>
        <w:t>利率下行环境下，</w:t>
      </w:r>
      <w:proofErr w:type="gramStart"/>
      <w:r>
        <w:rPr>
          <w:sz w:val="21"/>
          <w:lang w:eastAsia="zh-CN"/>
        </w:rPr>
        <w:t>险企资产</w:t>
      </w:r>
      <w:proofErr w:type="gramEnd"/>
      <w:r>
        <w:rPr>
          <w:sz w:val="21"/>
          <w:lang w:eastAsia="zh-CN"/>
        </w:rPr>
        <w:t>负债管理压力加大，定价利率下调至</w:t>
      </w:r>
      <w:r>
        <w:rPr>
          <w:sz w:val="21"/>
          <w:lang w:eastAsia="zh-CN"/>
        </w:rPr>
        <w:t>2.5%</w:t>
      </w:r>
    </w:p>
    <w:p w14:paraId="0BD92ED7" w14:textId="77777777" w:rsidR="00142BD9" w:rsidRDefault="00000000">
      <w:pPr>
        <w:pStyle w:val="a0"/>
        <w:spacing w:after="20"/>
        <w:rPr>
          <w:lang w:eastAsia="zh-CN"/>
        </w:rPr>
      </w:pPr>
      <w:proofErr w:type="gramStart"/>
      <w:r>
        <w:rPr>
          <w:sz w:val="21"/>
          <w:lang w:eastAsia="zh-CN"/>
        </w:rPr>
        <w:t>中小险企在</w:t>
      </w:r>
      <w:proofErr w:type="gramEnd"/>
      <w:r>
        <w:rPr>
          <w:sz w:val="21"/>
          <w:lang w:eastAsia="zh-CN"/>
        </w:rPr>
        <w:t>细分领域差异化发展，市场份额小幅提升</w:t>
      </w:r>
    </w:p>
    <w:p w14:paraId="74EEFAD2" w14:textId="77777777" w:rsidR="005579F5" w:rsidRDefault="005579F5">
      <w:pPr>
        <w:spacing w:before="160" w:after="120"/>
        <w:rPr>
          <w:color w:val="AAAAAA"/>
          <w:sz w:val="18"/>
          <w:lang w:eastAsia="zh-CN"/>
        </w:rPr>
      </w:pPr>
    </w:p>
    <w:p w14:paraId="1B9DE522" w14:textId="3C1B0DD8" w:rsidR="00142BD9" w:rsidRDefault="00000000">
      <w:pPr>
        <w:spacing w:before="160" w:after="120"/>
        <w:rPr>
          <w:lang w:eastAsia="zh-CN"/>
        </w:rPr>
      </w:pPr>
      <w:r>
        <w:rPr>
          <w:rFonts w:ascii="Arial" w:eastAsia="黑体" w:hAnsi="Arial"/>
          <w:b/>
          <w:color w:val="404040"/>
          <w:sz w:val="25"/>
          <w:lang w:eastAsia="zh-CN"/>
        </w:rPr>
        <w:t xml:space="preserve">5.1.1  </w:t>
      </w:r>
      <w:proofErr w:type="gramStart"/>
      <w:r>
        <w:rPr>
          <w:rFonts w:ascii="Arial" w:eastAsia="黑体" w:hAnsi="Arial"/>
          <w:b/>
          <w:color w:val="404040"/>
          <w:sz w:val="25"/>
          <w:lang w:eastAsia="zh-CN"/>
        </w:rPr>
        <w:t>个险渠道</w:t>
      </w:r>
      <w:proofErr w:type="gramEnd"/>
      <w:r>
        <w:rPr>
          <w:rFonts w:ascii="Arial" w:eastAsia="黑体" w:hAnsi="Arial"/>
          <w:b/>
          <w:color w:val="404040"/>
          <w:sz w:val="25"/>
          <w:lang w:eastAsia="zh-CN"/>
        </w:rPr>
        <w:t>分析</w:t>
      </w:r>
    </w:p>
    <w:p w14:paraId="136BF9D5" w14:textId="77777777" w:rsidR="00142BD9" w:rsidRDefault="00000000">
      <w:pPr>
        <w:spacing w:after="80"/>
        <w:ind w:firstLine="480"/>
        <w:rPr>
          <w:lang w:eastAsia="zh-CN"/>
        </w:rPr>
      </w:pPr>
      <w:proofErr w:type="gramStart"/>
      <w:r>
        <w:rPr>
          <w:lang w:eastAsia="zh-CN"/>
        </w:rPr>
        <w:t>个险渠道</w:t>
      </w:r>
      <w:proofErr w:type="gramEnd"/>
      <w:r>
        <w:rPr>
          <w:lang w:eastAsia="zh-CN"/>
        </w:rPr>
        <w:t>本季度实现保费收入</w:t>
      </w:r>
      <w:r>
        <w:rPr>
          <w:lang w:eastAsia="zh-CN"/>
        </w:rPr>
        <w:t>8,200</w:t>
      </w:r>
      <w:r>
        <w:rPr>
          <w:lang w:eastAsia="zh-CN"/>
        </w:rPr>
        <w:t>亿元，同比增长</w:t>
      </w:r>
      <w:r>
        <w:rPr>
          <w:lang w:eastAsia="zh-CN"/>
        </w:rPr>
        <w:t>3.5%</w:t>
      </w:r>
      <w:r>
        <w:rPr>
          <w:lang w:eastAsia="zh-CN"/>
        </w:rPr>
        <w:t>，增速持续放缓。代理人队伍规模收缩但产能提升。</w:t>
      </w:r>
    </w:p>
    <w:p w14:paraId="305C27DD" w14:textId="77777777" w:rsidR="00142BD9" w:rsidRDefault="00000000">
      <w:pPr>
        <w:spacing w:before="120" w:after="40"/>
        <w:rPr>
          <w:lang w:eastAsia="zh-CN"/>
        </w:rPr>
      </w:pPr>
      <w:r>
        <w:rPr>
          <w:b/>
          <w:lang w:eastAsia="zh-CN"/>
        </w:rPr>
        <w:t>表</w:t>
      </w:r>
      <w:r>
        <w:rPr>
          <w:b/>
          <w:lang w:eastAsia="zh-CN"/>
        </w:rPr>
        <w:t>2</w:t>
      </w:r>
      <w:r>
        <w:rPr>
          <w:b/>
          <w:lang w:eastAsia="zh-CN"/>
        </w:rPr>
        <w:t>：</w:t>
      </w:r>
      <w:r>
        <w:rPr>
          <w:b/>
          <w:lang w:eastAsia="zh-CN"/>
        </w:rPr>
        <w:t>2026</w:t>
      </w:r>
      <w:r>
        <w:rPr>
          <w:b/>
          <w:lang w:eastAsia="zh-CN"/>
        </w:rPr>
        <w:t>年</w:t>
      </w:r>
      <w:r>
        <w:rPr>
          <w:b/>
          <w:lang w:eastAsia="zh-CN"/>
        </w:rPr>
        <w:t>Q2</w:t>
      </w:r>
      <w:proofErr w:type="gramStart"/>
      <w:r>
        <w:rPr>
          <w:b/>
          <w:lang w:eastAsia="zh-CN"/>
        </w:rPr>
        <w:t>各</w:t>
      </w:r>
      <w:proofErr w:type="gramEnd"/>
      <w:r>
        <w:rPr>
          <w:b/>
          <w:lang w:eastAsia="zh-CN"/>
        </w:rPr>
        <w:t>销售渠道保费占比</w:t>
      </w:r>
    </w:p>
    <w:tbl>
      <w:tblPr>
        <w:tblStyle w:val="-11"/>
        <w:tblW w:w="0" w:type="auto"/>
        <w:tblLook w:val="04A0" w:firstRow="1" w:lastRow="0" w:firstColumn="1" w:lastColumn="0" w:noHBand="0" w:noVBand="1"/>
      </w:tblPr>
      <w:tblGrid>
        <w:gridCol w:w="2160"/>
        <w:gridCol w:w="2160"/>
        <w:gridCol w:w="2160"/>
        <w:gridCol w:w="2160"/>
      </w:tblGrid>
      <w:tr w:rsidR="00142BD9" w14:paraId="5DB0F2C5" w14:textId="77777777" w:rsidTr="00142B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7207B3" w14:textId="77777777" w:rsidR="00142BD9" w:rsidRDefault="00000000">
            <w:pPr>
              <w:jc w:val="center"/>
            </w:pPr>
            <w:proofErr w:type="spellStart"/>
            <w:r>
              <w:rPr>
                <w:rFonts w:ascii="Arial" w:eastAsia="黑体" w:hAnsi="Arial"/>
                <w:sz w:val="21"/>
              </w:rPr>
              <w:t>渠道类型</w:t>
            </w:r>
            <w:proofErr w:type="spellEnd"/>
          </w:p>
        </w:tc>
        <w:tc>
          <w:tcPr>
            <w:tcW w:w="2160" w:type="dxa"/>
          </w:tcPr>
          <w:p w14:paraId="639E43A1" w14:textId="77777777" w:rsidR="00142BD9"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eastAsia="黑体" w:hAnsi="Arial"/>
                <w:sz w:val="21"/>
              </w:rPr>
              <w:t>保费收入</w:t>
            </w:r>
            <w:r>
              <w:rPr>
                <w:rFonts w:ascii="Arial" w:eastAsia="黑体" w:hAnsi="Arial"/>
                <w:sz w:val="21"/>
              </w:rPr>
              <w:t>(</w:t>
            </w:r>
            <w:r>
              <w:rPr>
                <w:rFonts w:ascii="Arial" w:eastAsia="黑体" w:hAnsi="Arial"/>
                <w:sz w:val="21"/>
              </w:rPr>
              <w:t>亿元</w:t>
            </w:r>
            <w:r>
              <w:rPr>
                <w:rFonts w:ascii="Arial" w:eastAsia="黑体" w:hAnsi="Arial"/>
                <w:sz w:val="21"/>
              </w:rPr>
              <w:t>)</w:t>
            </w:r>
          </w:p>
        </w:tc>
        <w:tc>
          <w:tcPr>
            <w:tcW w:w="2160" w:type="dxa"/>
          </w:tcPr>
          <w:p w14:paraId="49955D04" w14:textId="77777777" w:rsidR="00142BD9"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eastAsia="黑体" w:hAnsi="Arial"/>
                <w:sz w:val="21"/>
              </w:rPr>
              <w:t>占比</w:t>
            </w:r>
          </w:p>
        </w:tc>
        <w:tc>
          <w:tcPr>
            <w:tcW w:w="2160" w:type="dxa"/>
          </w:tcPr>
          <w:p w14:paraId="021E4104" w14:textId="77777777" w:rsidR="00142BD9"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eastAsia="黑体" w:hAnsi="Arial"/>
                <w:sz w:val="21"/>
              </w:rPr>
              <w:t>同比变化</w:t>
            </w:r>
          </w:p>
        </w:tc>
      </w:tr>
      <w:tr w:rsidR="00142BD9" w14:paraId="475A538D" w14:textId="77777777" w:rsidTr="00142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5E51DF" w14:textId="77777777" w:rsidR="00142BD9" w:rsidRDefault="00000000">
            <w:pPr>
              <w:jc w:val="center"/>
            </w:pPr>
            <w:r>
              <w:rPr>
                <w:b w:val="0"/>
                <w:sz w:val="21"/>
              </w:rPr>
              <w:t>个险渠道</w:t>
            </w:r>
          </w:p>
        </w:tc>
        <w:tc>
          <w:tcPr>
            <w:tcW w:w="2160" w:type="dxa"/>
          </w:tcPr>
          <w:p w14:paraId="0577D4D9" w14:textId="77777777" w:rsidR="00142BD9" w:rsidRDefault="00000000">
            <w:pPr>
              <w:jc w:val="center"/>
              <w:cnfStyle w:val="000000100000" w:firstRow="0" w:lastRow="0" w:firstColumn="0" w:lastColumn="0" w:oddVBand="0" w:evenVBand="0" w:oddHBand="1" w:evenHBand="0" w:firstRowFirstColumn="0" w:firstRowLastColumn="0" w:lastRowFirstColumn="0" w:lastRowLastColumn="0"/>
            </w:pPr>
            <w:r>
              <w:rPr>
                <w:sz w:val="21"/>
              </w:rPr>
              <w:t>8,200</w:t>
            </w:r>
          </w:p>
        </w:tc>
        <w:tc>
          <w:tcPr>
            <w:tcW w:w="2160" w:type="dxa"/>
          </w:tcPr>
          <w:p w14:paraId="612D2D78" w14:textId="77777777" w:rsidR="00142BD9" w:rsidRDefault="00000000">
            <w:pPr>
              <w:jc w:val="center"/>
              <w:cnfStyle w:val="000000100000" w:firstRow="0" w:lastRow="0" w:firstColumn="0" w:lastColumn="0" w:oddVBand="0" w:evenVBand="0" w:oddHBand="1" w:evenHBand="0" w:firstRowFirstColumn="0" w:firstRowLastColumn="0" w:lastRowFirstColumn="0" w:lastRowLastColumn="0"/>
            </w:pPr>
            <w:r>
              <w:rPr>
                <w:sz w:val="21"/>
              </w:rPr>
              <w:t>37.6%</w:t>
            </w:r>
          </w:p>
        </w:tc>
        <w:tc>
          <w:tcPr>
            <w:tcW w:w="2160" w:type="dxa"/>
          </w:tcPr>
          <w:p w14:paraId="1D364DFB" w14:textId="77777777" w:rsidR="00142BD9"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-1.2pp</w:t>
            </w:r>
          </w:p>
        </w:tc>
      </w:tr>
      <w:tr w:rsidR="00142BD9" w14:paraId="76E92C00" w14:textId="77777777" w:rsidTr="00142B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4418FE" w14:textId="77777777" w:rsidR="00142BD9" w:rsidRDefault="00000000">
            <w:pPr>
              <w:jc w:val="center"/>
            </w:pPr>
            <w:r>
              <w:rPr>
                <w:b w:val="0"/>
                <w:sz w:val="21"/>
              </w:rPr>
              <w:t>银保渠道</w:t>
            </w:r>
          </w:p>
        </w:tc>
        <w:tc>
          <w:tcPr>
            <w:tcW w:w="2160" w:type="dxa"/>
          </w:tcPr>
          <w:p w14:paraId="227FC123" w14:textId="77777777" w:rsidR="00142BD9" w:rsidRDefault="00000000">
            <w:pPr>
              <w:jc w:val="center"/>
              <w:cnfStyle w:val="000000010000" w:firstRow="0" w:lastRow="0" w:firstColumn="0" w:lastColumn="0" w:oddVBand="0" w:evenVBand="0" w:oddHBand="0" w:evenHBand="1" w:firstRowFirstColumn="0" w:firstRowLastColumn="0" w:lastRowFirstColumn="0" w:lastRowLastColumn="0"/>
            </w:pPr>
            <w:r>
              <w:rPr>
                <w:sz w:val="21"/>
              </w:rPr>
              <w:t>6,500</w:t>
            </w:r>
          </w:p>
        </w:tc>
        <w:tc>
          <w:tcPr>
            <w:tcW w:w="2160" w:type="dxa"/>
          </w:tcPr>
          <w:p w14:paraId="1A210EBE" w14:textId="77777777" w:rsidR="00142BD9" w:rsidRDefault="00000000">
            <w:pPr>
              <w:jc w:val="center"/>
              <w:cnfStyle w:val="000000010000" w:firstRow="0" w:lastRow="0" w:firstColumn="0" w:lastColumn="0" w:oddVBand="0" w:evenVBand="0" w:oddHBand="0" w:evenHBand="1" w:firstRowFirstColumn="0" w:firstRowLastColumn="0" w:lastRowFirstColumn="0" w:lastRowLastColumn="0"/>
            </w:pPr>
            <w:r>
              <w:rPr>
                <w:sz w:val="21"/>
              </w:rPr>
              <w:t>29.8%</w:t>
            </w:r>
          </w:p>
        </w:tc>
        <w:tc>
          <w:tcPr>
            <w:tcW w:w="2160" w:type="dxa"/>
          </w:tcPr>
          <w:p w14:paraId="013F5D41" w14:textId="77777777" w:rsidR="00142BD9" w:rsidRDefault="00000000">
            <w:pPr>
              <w:jc w:val="center"/>
              <w:cnfStyle w:val="000000010000" w:firstRow="0" w:lastRow="0" w:firstColumn="0" w:lastColumn="0" w:oddVBand="0" w:evenVBand="0" w:oddHBand="0" w:evenHBand="1" w:firstRowFirstColumn="0" w:firstRowLastColumn="0" w:lastRowFirstColumn="0" w:lastRowLastColumn="0"/>
            </w:pPr>
            <w:r>
              <w:rPr>
                <w:sz w:val="21"/>
              </w:rPr>
              <w:t>+0.8pp</w:t>
            </w:r>
          </w:p>
        </w:tc>
      </w:tr>
      <w:tr w:rsidR="00142BD9" w14:paraId="5D60BD1C" w14:textId="77777777" w:rsidTr="00142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49EE57" w14:textId="77777777" w:rsidR="00142BD9" w:rsidRDefault="00000000">
            <w:pPr>
              <w:jc w:val="center"/>
            </w:pPr>
            <w:r>
              <w:rPr>
                <w:b w:val="0"/>
                <w:sz w:val="21"/>
              </w:rPr>
              <w:t>互联网渠道</w:t>
            </w:r>
          </w:p>
        </w:tc>
        <w:tc>
          <w:tcPr>
            <w:tcW w:w="2160" w:type="dxa"/>
          </w:tcPr>
          <w:p w14:paraId="31496C07" w14:textId="77777777" w:rsidR="00142BD9" w:rsidRDefault="00000000">
            <w:pPr>
              <w:jc w:val="center"/>
              <w:cnfStyle w:val="000000100000" w:firstRow="0" w:lastRow="0" w:firstColumn="0" w:lastColumn="0" w:oddVBand="0" w:evenVBand="0" w:oddHBand="1" w:evenHBand="0" w:firstRowFirstColumn="0" w:firstRowLastColumn="0" w:lastRowFirstColumn="0" w:lastRowLastColumn="0"/>
            </w:pPr>
            <w:r>
              <w:rPr>
                <w:sz w:val="21"/>
              </w:rPr>
              <w:t>4,360</w:t>
            </w:r>
          </w:p>
        </w:tc>
        <w:tc>
          <w:tcPr>
            <w:tcW w:w="2160" w:type="dxa"/>
          </w:tcPr>
          <w:p w14:paraId="68C21C03" w14:textId="77777777" w:rsidR="00142BD9" w:rsidRDefault="00000000">
            <w:pPr>
              <w:jc w:val="center"/>
              <w:cnfStyle w:val="000000100000" w:firstRow="0" w:lastRow="0" w:firstColumn="0" w:lastColumn="0" w:oddVBand="0" w:evenVBand="0" w:oddHBand="1" w:evenHBand="0" w:firstRowFirstColumn="0" w:firstRowLastColumn="0" w:lastRowFirstColumn="0" w:lastRowLastColumn="0"/>
            </w:pPr>
            <w:r>
              <w:rPr>
                <w:sz w:val="21"/>
              </w:rPr>
              <w:t>20.0%</w:t>
            </w:r>
          </w:p>
        </w:tc>
        <w:tc>
          <w:tcPr>
            <w:tcW w:w="2160" w:type="dxa"/>
          </w:tcPr>
          <w:p w14:paraId="79B98643" w14:textId="77777777" w:rsidR="00142BD9" w:rsidRDefault="00000000">
            <w:pPr>
              <w:jc w:val="center"/>
              <w:cnfStyle w:val="000000100000" w:firstRow="0" w:lastRow="0" w:firstColumn="0" w:lastColumn="0" w:oddVBand="0" w:evenVBand="0" w:oddHBand="1" w:evenHBand="0" w:firstRowFirstColumn="0" w:firstRowLastColumn="0" w:lastRowFirstColumn="0" w:lastRowLastColumn="0"/>
            </w:pPr>
            <w:r>
              <w:rPr>
                <w:sz w:val="21"/>
              </w:rPr>
              <w:t>+2.5pp</w:t>
            </w:r>
          </w:p>
        </w:tc>
      </w:tr>
      <w:tr w:rsidR="00142BD9" w14:paraId="5144D2FB" w14:textId="77777777" w:rsidTr="00142BD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43D647" w14:textId="77777777" w:rsidR="00142BD9" w:rsidRDefault="00000000">
            <w:pPr>
              <w:jc w:val="center"/>
            </w:pPr>
            <w:r>
              <w:rPr>
                <w:b w:val="0"/>
                <w:sz w:val="21"/>
              </w:rPr>
              <w:t>专业代理</w:t>
            </w:r>
          </w:p>
        </w:tc>
        <w:tc>
          <w:tcPr>
            <w:tcW w:w="2160" w:type="dxa"/>
          </w:tcPr>
          <w:p w14:paraId="3C804C57" w14:textId="77777777" w:rsidR="00142BD9" w:rsidRDefault="00000000">
            <w:pPr>
              <w:jc w:val="center"/>
              <w:cnfStyle w:val="000000010000" w:firstRow="0" w:lastRow="0" w:firstColumn="0" w:lastColumn="0" w:oddVBand="0" w:evenVBand="0" w:oddHBand="0" w:evenHBand="1" w:firstRowFirstColumn="0" w:firstRowLastColumn="0" w:lastRowFirstColumn="0" w:lastRowLastColumn="0"/>
            </w:pPr>
            <w:r>
              <w:rPr>
                <w:sz w:val="21"/>
              </w:rPr>
              <w:t>1,740</w:t>
            </w:r>
          </w:p>
        </w:tc>
        <w:tc>
          <w:tcPr>
            <w:tcW w:w="2160" w:type="dxa"/>
          </w:tcPr>
          <w:p w14:paraId="20FD8AB0" w14:textId="77777777" w:rsidR="00142BD9" w:rsidRDefault="00000000">
            <w:pPr>
              <w:jc w:val="center"/>
              <w:cnfStyle w:val="000000010000" w:firstRow="0" w:lastRow="0" w:firstColumn="0" w:lastColumn="0" w:oddVBand="0" w:evenVBand="0" w:oddHBand="0" w:evenHBand="1" w:firstRowFirstColumn="0" w:firstRowLastColumn="0" w:lastRowFirstColumn="0" w:lastRowLastColumn="0"/>
            </w:pPr>
            <w:r>
              <w:rPr>
                <w:sz w:val="21"/>
              </w:rPr>
              <w:t>8.0%</w:t>
            </w:r>
          </w:p>
        </w:tc>
        <w:tc>
          <w:tcPr>
            <w:tcW w:w="2160" w:type="dxa"/>
          </w:tcPr>
          <w:p w14:paraId="39BE36B0" w14:textId="77777777" w:rsidR="00142BD9" w:rsidRDefault="00000000">
            <w:pPr>
              <w:jc w:val="center"/>
              <w:cnfStyle w:val="000000010000" w:firstRow="0" w:lastRow="0" w:firstColumn="0" w:lastColumn="0" w:oddVBand="0" w:evenVBand="0" w:oddHBand="0" w:evenHBand="1" w:firstRowFirstColumn="0" w:firstRowLastColumn="0" w:lastRowFirstColumn="0" w:lastRowLastColumn="0"/>
            </w:pPr>
            <w:r>
              <w:rPr>
                <w:sz w:val="21"/>
              </w:rPr>
              <w:t>-0.3pp</w:t>
            </w:r>
          </w:p>
        </w:tc>
      </w:tr>
      <w:tr w:rsidR="00142BD9" w14:paraId="3F3F2239" w14:textId="77777777" w:rsidTr="00142B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5EC73E" w14:textId="77777777" w:rsidR="00142BD9" w:rsidRDefault="00000000">
            <w:pPr>
              <w:jc w:val="center"/>
            </w:pPr>
            <w:r>
              <w:rPr>
                <w:b w:val="0"/>
                <w:sz w:val="21"/>
              </w:rPr>
              <w:t>经纪渠道</w:t>
            </w:r>
          </w:p>
        </w:tc>
        <w:tc>
          <w:tcPr>
            <w:tcW w:w="2160" w:type="dxa"/>
          </w:tcPr>
          <w:p w14:paraId="470E6A1E" w14:textId="77777777" w:rsidR="00142BD9"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1,000</w:t>
            </w:r>
          </w:p>
        </w:tc>
        <w:tc>
          <w:tcPr>
            <w:tcW w:w="2160" w:type="dxa"/>
          </w:tcPr>
          <w:p w14:paraId="0F09DD83" w14:textId="77777777" w:rsidR="00142BD9" w:rsidRDefault="00000000">
            <w:pPr>
              <w:jc w:val="center"/>
              <w:cnfStyle w:val="000000100000" w:firstRow="0" w:lastRow="0" w:firstColumn="0" w:lastColumn="0" w:oddVBand="0" w:evenVBand="0" w:oddHBand="1" w:evenHBand="0" w:firstRowFirstColumn="0" w:firstRowLastColumn="0" w:lastRowFirstColumn="0" w:lastRowLastColumn="0"/>
            </w:pPr>
            <w:r>
              <w:rPr>
                <w:sz w:val="21"/>
              </w:rPr>
              <w:t>4.6%</w:t>
            </w:r>
          </w:p>
        </w:tc>
        <w:tc>
          <w:tcPr>
            <w:tcW w:w="2160" w:type="dxa"/>
          </w:tcPr>
          <w:p w14:paraId="0883B18D" w14:textId="77777777" w:rsidR="00142BD9"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+0.2pp</w:t>
            </w:r>
          </w:p>
        </w:tc>
      </w:tr>
    </w:tbl>
    <w:p w14:paraId="7410C0CB" w14:textId="77777777" w:rsidR="00142BD9" w:rsidRDefault="00000000">
      <w:pPr>
        <w:spacing w:before="120" w:after="40"/>
      </w:pPr>
      <w:r>
        <w:rPr>
          <w:b/>
        </w:rPr>
        <w:t>代理人队伍变化</w:t>
      </w:r>
    </w:p>
    <w:p w14:paraId="41C10EA7" w14:textId="77777777" w:rsidR="00142BD9" w:rsidRDefault="00000000">
      <w:pPr>
        <w:pStyle w:val="a0"/>
        <w:spacing w:after="20"/>
        <w:rPr>
          <w:lang w:eastAsia="zh-CN"/>
        </w:rPr>
      </w:pPr>
      <w:r>
        <w:rPr>
          <w:sz w:val="21"/>
          <w:lang w:eastAsia="zh-CN"/>
        </w:rPr>
        <w:t>全行业</w:t>
      </w:r>
      <w:proofErr w:type="gramStart"/>
      <w:r>
        <w:rPr>
          <w:sz w:val="21"/>
          <w:lang w:eastAsia="zh-CN"/>
        </w:rPr>
        <w:t>个</w:t>
      </w:r>
      <w:proofErr w:type="gramEnd"/>
      <w:r>
        <w:rPr>
          <w:sz w:val="21"/>
          <w:lang w:eastAsia="zh-CN"/>
        </w:rPr>
        <w:t>险代理人规模降至</w:t>
      </w:r>
      <w:r>
        <w:rPr>
          <w:sz w:val="21"/>
          <w:lang w:eastAsia="zh-CN"/>
        </w:rPr>
        <w:t>285</w:t>
      </w:r>
      <w:r>
        <w:rPr>
          <w:sz w:val="21"/>
          <w:lang w:eastAsia="zh-CN"/>
        </w:rPr>
        <w:t>万人，较年初减少</w:t>
      </w:r>
      <w:r>
        <w:rPr>
          <w:sz w:val="21"/>
          <w:lang w:eastAsia="zh-CN"/>
        </w:rPr>
        <w:t>12</w:t>
      </w:r>
      <w:r>
        <w:rPr>
          <w:sz w:val="21"/>
          <w:lang w:eastAsia="zh-CN"/>
        </w:rPr>
        <w:t>万人</w:t>
      </w:r>
    </w:p>
    <w:p w14:paraId="265BED84" w14:textId="77777777" w:rsidR="00142BD9" w:rsidRDefault="00000000">
      <w:pPr>
        <w:pStyle w:val="a0"/>
        <w:spacing w:after="20"/>
        <w:rPr>
          <w:lang w:eastAsia="zh-CN"/>
        </w:rPr>
      </w:pPr>
      <w:r>
        <w:rPr>
          <w:sz w:val="21"/>
          <w:lang w:eastAsia="zh-CN"/>
        </w:rPr>
        <w:t>代理人月均产能提升至</w:t>
      </w:r>
      <w:r>
        <w:rPr>
          <w:sz w:val="21"/>
          <w:lang w:eastAsia="zh-CN"/>
        </w:rPr>
        <w:t>8,500</w:t>
      </w:r>
      <w:r>
        <w:rPr>
          <w:sz w:val="21"/>
          <w:lang w:eastAsia="zh-CN"/>
        </w:rPr>
        <w:t>元，同比提升</w:t>
      </w:r>
      <w:r>
        <w:rPr>
          <w:sz w:val="21"/>
          <w:lang w:eastAsia="zh-CN"/>
        </w:rPr>
        <w:t>15%</w:t>
      </w:r>
    </w:p>
    <w:p w14:paraId="2FB3BA6B" w14:textId="77777777" w:rsidR="00142BD9" w:rsidRDefault="00000000">
      <w:pPr>
        <w:pStyle w:val="a0"/>
        <w:spacing w:after="20"/>
        <w:rPr>
          <w:lang w:eastAsia="zh-CN"/>
        </w:rPr>
      </w:pPr>
      <w:r>
        <w:rPr>
          <w:sz w:val="21"/>
          <w:lang w:eastAsia="zh-CN"/>
        </w:rPr>
        <w:t>活跃代理人占比提升至</w:t>
      </w:r>
      <w:r>
        <w:rPr>
          <w:sz w:val="21"/>
          <w:lang w:eastAsia="zh-CN"/>
        </w:rPr>
        <w:t>62%</w:t>
      </w:r>
      <w:r>
        <w:rPr>
          <w:sz w:val="21"/>
          <w:lang w:eastAsia="zh-CN"/>
        </w:rPr>
        <w:t>，队伍质态改善</w:t>
      </w:r>
    </w:p>
    <w:p w14:paraId="1D037011" w14:textId="77777777" w:rsidR="00142BD9" w:rsidRDefault="00000000">
      <w:pPr>
        <w:spacing w:before="120" w:after="40"/>
      </w:pPr>
      <w:proofErr w:type="spellStart"/>
      <w:r>
        <w:rPr>
          <w:b/>
        </w:rPr>
        <w:t>渠道转型方向</w:t>
      </w:r>
      <w:proofErr w:type="spellEnd"/>
    </w:p>
    <w:p w14:paraId="27EF03CF" w14:textId="77777777" w:rsidR="00142BD9" w:rsidRDefault="00000000">
      <w:pPr>
        <w:pStyle w:val="a0"/>
        <w:spacing w:after="20"/>
        <w:rPr>
          <w:lang w:eastAsia="zh-CN"/>
        </w:rPr>
      </w:pPr>
      <w:proofErr w:type="gramStart"/>
      <w:r>
        <w:rPr>
          <w:sz w:val="21"/>
          <w:lang w:eastAsia="zh-CN"/>
        </w:rPr>
        <w:t>优增优育</w:t>
      </w:r>
      <w:proofErr w:type="gramEnd"/>
      <w:r>
        <w:rPr>
          <w:sz w:val="21"/>
          <w:lang w:eastAsia="zh-CN"/>
        </w:rPr>
        <w:t>策略持续推进，</w:t>
      </w:r>
      <w:proofErr w:type="gramStart"/>
      <w:r>
        <w:rPr>
          <w:sz w:val="21"/>
          <w:lang w:eastAsia="zh-CN"/>
        </w:rPr>
        <w:t>高产能</w:t>
      </w:r>
      <w:proofErr w:type="gramEnd"/>
      <w:r>
        <w:rPr>
          <w:sz w:val="21"/>
          <w:lang w:eastAsia="zh-CN"/>
        </w:rPr>
        <w:t>代理人占比提升</w:t>
      </w:r>
    </w:p>
    <w:p w14:paraId="1771E88E" w14:textId="77777777" w:rsidR="00142BD9" w:rsidRDefault="00000000">
      <w:pPr>
        <w:pStyle w:val="a0"/>
        <w:spacing w:after="20"/>
        <w:rPr>
          <w:lang w:eastAsia="zh-CN"/>
        </w:rPr>
      </w:pPr>
      <w:r>
        <w:rPr>
          <w:sz w:val="21"/>
          <w:lang w:eastAsia="zh-CN"/>
        </w:rPr>
        <w:t>独立代理人模式试点扩大至</w:t>
      </w:r>
      <w:r>
        <w:rPr>
          <w:sz w:val="21"/>
          <w:lang w:eastAsia="zh-CN"/>
        </w:rPr>
        <w:t>10</w:t>
      </w:r>
      <w:r>
        <w:rPr>
          <w:sz w:val="21"/>
          <w:lang w:eastAsia="zh-CN"/>
        </w:rPr>
        <w:t>个城市</w:t>
      </w:r>
    </w:p>
    <w:p w14:paraId="07F34696" w14:textId="77777777" w:rsidR="00142BD9" w:rsidRDefault="00000000">
      <w:pPr>
        <w:pStyle w:val="a0"/>
        <w:spacing w:after="20"/>
        <w:rPr>
          <w:lang w:eastAsia="zh-CN"/>
        </w:rPr>
      </w:pPr>
      <w:r>
        <w:rPr>
          <w:sz w:val="21"/>
          <w:lang w:eastAsia="zh-CN"/>
        </w:rPr>
        <w:t>代理人赋能系统建设加速，数字化工具覆盖率超过</w:t>
      </w:r>
      <w:r>
        <w:rPr>
          <w:sz w:val="21"/>
          <w:lang w:eastAsia="zh-CN"/>
        </w:rPr>
        <w:t>80%</w:t>
      </w:r>
    </w:p>
    <w:p w14:paraId="5776DF17" w14:textId="77777777" w:rsidR="005579F5" w:rsidRDefault="005579F5">
      <w:pPr>
        <w:spacing w:before="160" w:after="120"/>
        <w:rPr>
          <w:color w:val="AAAAAA"/>
          <w:sz w:val="18"/>
          <w:lang w:eastAsia="zh-CN"/>
        </w:rPr>
      </w:pPr>
    </w:p>
    <w:p w14:paraId="4434754C" w14:textId="0F1944F3" w:rsidR="00142BD9" w:rsidRDefault="00000000">
      <w:pPr>
        <w:spacing w:before="160" w:after="120"/>
        <w:rPr>
          <w:lang w:eastAsia="zh-CN"/>
        </w:rPr>
      </w:pPr>
      <w:r>
        <w:rPr>
          <w:rFonts w:ascii="Arial" w:eastAsia="黑体" w:hAnsi="Arial"/>
          <w:b/>
          <w:color w:val="404040"/>
          <w:sz w:val="25"/>
          <w:lang w:eastAsia="zh-CN"/>
        </w:rPr>
        <w:t xml:space="preserve">3.1.1  </w:t>
      </w:r>
      <w:r>
        <w:rPr>
          <w:rFonts w:ascii="Arial" w:eastAsia="黑体" w:hAnsi="Arial"/>
          <w:b/>
          <w:color w:val="404040"/>
          <w:sz w:val="25"/>
          <w:lang w:eastAsia="zh-CN"/>
        </w:rPr>
        <w:t>原保险保费收入</w:t>
      </w:r>
    </w:p>
    <w:p w14:paraId="2B84C472" w14:textId="77777777" w:rsidR="00142BD9" w:rsidRDefault="00000000">
      <w:pPr>
        <w:spacing w:after="80"/>
        <w:ind w:firstLine="480"/>
        <w:rPr>
          <w:lang w:eastAsia="zh-CN"/>
        </w:rPr>
      </w:pPr>
      <w:r>
        <w:rPr>
          <w:lang w:eastAsia="zh-CN"/>
        </w:rPr>
        <w:t>二季度，全行业实现原保险保费收入</w:t>
      </w:r>
      <w:r>
        <w:rPr>
          <w:lang w:eastAsia="zh-CN"/>
        </w:rPr>
        <w:t>2.18</w:t>
      </w:r>
      <w:proofErr w:type="gramStart"/>
      <w:r>
        <w:rPr>
          <w:lang w:eastAsia="zh-CN"/>
        </w:rPr>
        <w:t>万亿</w:t>
      </w:r>
      <w:proofErr w:type="gramEnd"/>
      <w:r>
        <w:rPr>
          <w:lang w:eastAsia="zh-CN"/>
        </w:rPr>
        <w:t>元，同比增长</w:t>
      </w:r>
      <w:r>
        <w:rPr>
          <w:lang w:eastAsia="zh-CN"/>
        </w:rPr>
        <w:t>6.8%</w:t>
      </w:r>
      <w:r>
        <w:rPr>
          <w:lang w:eastAsia="zh-CN"/>
        </w:rPr>
        <w:t>。其中，人身险公司保费收入</w:t>
      </w:r>
      <w:r>
        <w:rPr>
          <w:lang w:eastAsia="zh-CN"/>
        </w:rPr>
        <w:t>1.67</w:t>
      </w:r>
      <w:proofErr w:type="gramStart"/>
      <w:r>
        <w:rPr>
          <w:lang w:eastAsia="zh-CN"/>
        </w:rPr>
        <w:t>万亿</w:t>
      </w:r>
      <w:proofErr w:type="gramEnd"/>
      <w:r>
        <w:rPr>
          <w:lang w:eastAsia="zh-CN"/>
        </w:rPr>
        <w:t>元，同比增长</w:t>
      </w:r>
      <w:r>
        <w:rPr>
          <w:lang w:eastAsia="zh-CN"/>
        </w:rPr>
        <w:t>7.2%</w:t>
      </w:r>
      <w:r>
        <w:rPr>
          <w:lang w:eastAsia="zh-CN"/>
        </w:rPr>
        <w:t>；财产险公司保费收入</w:t>
      </w:r>
      <w:r>
        <w:rPr>
          <w:lang w:eastAsia="zh-CN"/>
        </w:rPr>
        <w:t>5,100</w:t>
      </w:r>
      <w:r>
        <w:rPr>
          <w:lang w:eastAsia="zh-CN"/>
        </w:rPr>
        <w:t>亿元，同比增长</w:t>
      </w:r>
      <w:r>
        <w:rPr>
          <w:lang w:eastAsia="zh-CN"/>
        </w:rPr>
        <w:t>5.5%</w:t>
      </w:r>
      <w:r>
        <w:rPr>
          <w:lang w:eastAsia="zh-CN"/>
        </w:rPr>
        <w:t>。</w:t>
      </w:r>
    </w:p>
    <w:p w14:paraId="1F71091B" w14:textId="77777777" w:rsidR="00142BD9" w:rsidRDefault="00000000">
      <w:pPr>
        <w:spacing w:before="120" w:after="40"/>
      </w:pPr>
      <w:proofErr w:type="spellStart"/>
      <w:r>
        <w:rPr>
          <w:b/>
        </w:rPr>
        <w:t>月度走势</w:t>
      </w:r>
      <w:proofErr w:type="spellEnd"/>
    </w:p>
    <w:p w14:paraId="4E77136B" w14:textId="77777777" w:rsidR="00142BD9" w:rsidRDefault="00000000">
      <w:pPr>
        <w:pStyle w:val="a0"/>
        <w:spacing w:after="20"/>
        <w:rPr>
          <w:lang w:eastAsia="zh-CN"/>
        </w:rPr>
      </w:pPr>
      <w:r>
        <w:rPr>
          <w:sz w:val="21"/>
          <w:lang w:eastAsia="zh-CN"/>
        </w:rPr>
        <w:t>4</w:t>
      </w:r>
      <w:r>
        <w:rPr>
          <w:sz w:val="21"/>
          <w:lang w:eastAsia="zh-CN"/>
        </w:rPr>
        <w:t>月保费收入</w:t>
      </w:r>
      <w:r>
        <w:rPr>
          <w:sz w:val="21"/>
          <w:lang w:eastAsia="zh-CN"/>
        </w:rPr>
        <w:t>6,800</w:t>
      </w:r>
      <w:r>
        <w:rPr>
          <w:sz w:val="21"/>
          <w:lang w:eastAsia="zh-CN"/>
        </w:rPr>
        <w:t>亿元，受</w:t>
      </w:r>
      <w:r>
        <w:rPr>
          <w:sz w:val="21"/>
          <w:lang w:eastAsia="zh-CN"/>
        </w:rPr>
        <w:t>"</w:t>
      </w:r>
      <w:r>
        <w:rPr>
          <w:sz w:val="21"/>
          <w:lang w:eastAsia="zh-CN"/>
        </w:rPr>
        <w:t>开门红</w:t>
      </w:r>
      <w:r>
        <w:rPr>
          <w:sz w:val="21"/>
          <w:lang w:eastAsia="zh-CN"/>
        </w:rPr>
        <w:t>"</w:t>
      </w:r>
      <w:r>
        <w:rPr>
          <w:sz w:val="21"/>
          <w:lang w:eastAsia="zh-CN"/>
        </w:rPr>
        <w:t>后效应影响，环比回落</w:t>
      </w:r>
      <w:r>
        <w:rPr>
          <w:sz w:val="21"/>
          <w:lang w:eastAsia="zh-CN"/>
        </w:rPr>
        <w:t>12%</w:t>
      </w:r>
    </w:p>
    <w:p w14:paraId="4930DC11" w14:textId="77777777" w:rsidR="00142BD9" w:rsidRDefault="00000000">
      <w:pPr>
        <w:pStyle w:val="a0"/>
        <w:spacing w:after="20"/>
        <w:rPr>
          <w:lang w:eastAsia="zh-CN"/>
        </w:rPr>
      </w:pPr>
      <w:r>
        <w:rPr>
          <w:sz w:val="21"/>
          <w:lang w:eastAsia="zh-CN"/>
        </w:rPr>
        <w:t>5</w:t>
      </w:r>
      <w:r>
        <w:rPr>
          <w:sz w:val="21"/>
          <w:lang w:eastAsia="zh-CN"/>
        </w:rPr>
        <w:t>月保费收入</w:t>
      </w:r>
      <w:r>
        <w:rPr>
          <w:sz w:val="21"/>
          <w:lang w:eastAsia="zh-CN"/>
        </w:rPr>
        <w:t>7,200</w:t>
      </w:r>
      <w:r>
        <w:rPr>
          <w:sz w:val="21"/>
          <w:lang w:eastAsia="zh-CN"/>
        </w:rPr>
        <w:t>亿元，企稳回升，健康险和养老</w:t>
      </w:r>
      <w:proofErr w:type="gramStart"/>
      <w:r>
        <w:rPr>
          <w:sz w:val="21"/>
          <w:lang w:eastAsia="zh-CN"/>
        </w:rPr>
        <w:t>险贡献</w:t>
      </w:r>
      <w:proofErr w:type="gramEnd"/>
      <w:r>
        <w:rPr>
          <w:sz w:val="21"/>
          <w:lang w:eastAsia="zh-CN"/>
        </w:rPr>
        <w:t>主要增量</w:t>
      </w:r>
    </w:p>
    <w:p w14:paraId="72775D1A" w14:textId="77777777" w:rsidR="00142BD9" w:rsidRDefault="00000000">
      <w:pPr>
        <w:pStyle w:val="a0"/>
        <w:spacing w:after="20"/>
        <w:rPr>
          <w:lang w:eastAsia="zh-CN"/>
        </w:rPr>
      </w:pPr>
      <w:r>
        <w:rPr>
          <w:sz w:val="21"/>
          <w:lang w:eastAsia="zh-CN"/>
        </w:rPr>
        <w:t>6</w:t>
      </w:r>
      <w:r>
        <w:rPr>
          <w:sz w:val="21"/>
          <w:lang w:eastAsia="zh-CN"/>
        </w:rPr>
        <w:t>月保费收入</w:t>
      </w:r>
      <w:r>
        <w:rPr>
          <w:sz w:val="21"/>
          <w:lang w:eastAsia="zh-CN"/>
        </w:rPr>
        <w:t>7,800</w:t>
      </w:r>
      <w:r>
        <w:rPr>
          <w:sz w:val="21"/>
          <w:lang w:eastAsia="zh-CN"/>
        </w:rPr>
        <w:t>亿元，半年末冲量效应明显，银</w:t>
      </w:r>
      <w:proofErr w:type="gramStart"/>
      <w:r>
        <w:rPr>
          <w:sz w:val="21"/>
          <w:lang w:eastAsia="zh-CN"/>
        </w:rPr>
        <w:t>保渠道</w:t>
      </w:r>
      <w:proofErr w:type="gramEnd"/>
      <w:r>
        <w:rPr>
          <w:sz w:val="21"/>
          <w:lang w:eastAsia="zh-CN"/>
        </w:rPr>
        <w:t>发力</w:t>
      </w:r>
    </w:p>
    <w:p w14:paraId="683BA1FC" w14:textId="77777777" w:rsidR="00142BD9" w:rsidRDefault="00000000">
      <w:pPr>
        <w:jc w:val="center"/>
      </w:pPr>
      <w:r>
        <w:rPr>
          <w:noProof/>
        </w:rPr>
        <w:lastRenderedPageBreak/>
        <w:drawing>
          <wp:inline distT="0" distB="0" distL="0" distR="0" wp14:anchorId="13AC3677" wp14:editId="50B22B20">
            <wp:extent cx="4754880" cy="23547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保费收入趋势.png"/>
                    <pic:cNvPicPr/>
                  </pic:nvPicPr>
                  <pic:blipFill>
                    <a:blip r:embed="rId8"/>
                    <a:stretch>
                      <a:fillRect/>
                    </a:stretch>
                  </pic:blipFill>
                  <pic:spPr>
                    <a:xfrm>
                      <a:off x="0" y="0"/>
                      <a:ext cx="4754880" cy="2354772"/>
                    </a:xfrm>
                    <a:prstGeom prst="rect">
                      <a:avLst/>
                    </a:prstGeom>
                  </pic:spPr>
                </pic:pic>
              </a:graphicData>
            </a:graphic>
          </wp:inline>
        </w:drawing>
      </w:r>
    </w:p>
    <w:p w14:paraId="52C21DFB" w14:textId="77777777" w:rsidR="00142BD9" w:rsidRDefault="00000000">
      <w:pPr>
        <w:spacing w:after="160"/>
        <w:jc w:val="center"/>
        <w:rPr>
          <w:lang w:eastAsia="zh-CN"/>
        </w:rPr>
      </w:pPr>
      <w:r>
        <w:rPr>
          <w:i/>
          <w:color w:val="666666"/>
          <w:sz w:val="19"/>
          <w:lang w:eastAsia="zh-CN"/>
        </w:rPr>
        <w:t>图</w:t>
      </w:r>
      <w:r>
        <w:rPr>
          <w:i/>
          <w:color w:val="666666"/>
          <w:sz w:val="19"/>
          <w:lang w:eastAsia="zh-CN"/>
        </w:rPr>
        <w:t>1</w:t>
      </w:r>
      <w:r>
        <w:rPr>
          <w:i/>
          <w:color w:val="666666"/>
          <w:sz w:val="19"/>
          <w:lang w:eastAsia="zh-CN"/>
        </w:rPr>
        <w:t>：</w:t>
      </w:r>
      <w:r>
        <w:rPr>
          <w:i/>
          <w:color w:val="666666"/>
          <w:sz w:val="19"/>
          <w:lang w:eastAsia="zh-CN"/>
        </w:rPr>
        <w:t>2024-2026</w:t>
      </w:r>
      <w:r>
        <w:rPr>
          <w:i/>
          <w:color w:val="666666"/>
          <w:sz w:val="19"/>
          <w:lang w:eastAsia="zh-CN"/>
        </w:rPr>
        <w:t>年季度保费收入趋势</w:t>
      </w:r>
    </w:p>
    <w:p w14:paraId="7C05136D" w14:textId="77777777" w:rsidR="00142BD9" w:rsidRDefault="00000000">
      <w:pPr>
        <w:spacing w:before="120" w:after="40"/>
      </w:pPr>
      <w:proofErr w:type="spellStart"/>
      <w:r>
        <w:rPr>
          <w:b/>
        </w:rPr>
        <w:t>结构变化</w:t>
      </w:r>
      <w:proofErr w:type="spellEnd"/>
    </w:p>
    <w:p w14:paraId="69C7365B" w14:textId="77777777" w:rsidR="00142BD9" w:rsidRDefault="00000000">
      <w:pPr>
        <w:pStyle w:val="a0"/>
        <w:spacing w:after="20"/>
        <w:rPr>
          <w:lang w:eastAsia="zh-CN"/>
        </w:rPr>
      </w:pPr>
      <w:r>
        <w:rPr>
          <w:sz w:val="21"/>
          <w:lang w:eastAsia="zh-CN"/>
        </w:rPr>
        <w:t>新单保费占比</w:t>
      </w:r>
      <w:r>
        <w:rPr>
          <w:sz w:val="21"/>
          <w:lang w:eastAsia="zh-CN"/>
        </w:rPr>
        <w:t>38.5%</w:t>
      </w:r>
      <w:r>
        <w:rPr>
          <w:sz w:val="21"/>
          <w:lang w:eastAsia="zh-CN"/>
        </w:rPr>
        <w:t>，较去年同期下降</w:t>
      </w:r>
      <w:r>
        <w:rPr>
          <w:sz w:val="21"/>
          <w:lang w:eastAsia="zh-CN"/>
        </w:rPr>
        <w:t>1.2</w:t>
      </w:r>
      <w:r>
        <w:rPr>
          <w:sz w:val="21"/>
          <w:lang w:eastAsia="zh-CN"/>
        </w:rPr>
        <w:t>个百分点</w:t>
      </w:r>
    </w:p>
    <w:p w14:paraId="1A7D2158" w14:textId="77777777" w:rsidR="00142BD9" w:rsidRDefault="00000000">
      <w:pPr>
        <w:pStyle w:val="a0"/>
        <w:spacing w:after="20"/>
        <w:rPr>
          <w:lang w:eastAsia="zh-CN"/>
        </w:rPr>
      </w:pPr>
      <w:r>
        <w:rPr>
          <w:sz w:val="21"/>
          <w:lang w:eastAsia="zh-CN"/>
        </w:rPr>
        <w:t>续期保费占比</w:t>
      </w:r>
      <w:r>
        <w:rPr>
          <w:sz w:val="21"/>
          <w:lang w:eastAsia="zh-CN"/>
        </w:rPr>
        <w:t>61.5%</w:t>
      </w:r>
      <w:r>
        <w:rPr>
          <w:sz w:val="21"/>
          <w:lang w:eastAsia="zh-CN"/>
        </w:rPr>
        <w:t>，业务结构更趋稳健</w:t>
      </w:r>
    </w:p>
    <w:p w14:paraId="4D74F01B" w14:textId="77777777" w:rsidR="00142BD9" w:rsidRDefault="00000000">
      <w:pPr>
        <w:pStyle w:val="a0"/>
        <w:spacing w:after="20"/>
        <w:rPr>
          <w:lang w:eastAsia="zh-CN"/>
        </w:rPr>
      </w:pPr>
      <w:r>
        <w:rPr>
          <w:sz w:val="21"/>
          <w:lang w:eastAsia="zh-CN"/>
        </w:rPr>
        <w:t>长期险业务占比稳定在</w:t>
      </w:r>
      <w:r>
        <w:rPr>
          <w:sz w:val="21"/>
          <w:lang w:eastAsia="zh-CN"/>
        </w:rPr>
        <w:t>72%</w:t>
      </w:r>
      <w:r>
        <w:rPr>
          <w:sz w:val="21"/>
          <w:lang w:eastAsia="zh-CN"/>
        </w:rPr>
        <w:t>以上</w:t>
      </w:r>
    </w:p>
    <w:p w14:paraId="5A29E3D7" w14:textId="77777777" w:rsidR="005579F5" w:rsidRDefault="005579F5">
      <w:pPr>
        <w:spacing w:before="160" w:after="120"/>
        <w:rPr>
          <w:color w:val="AAAAAA"/>
          <w:sz w:val="18"/>
          <w:lang w:eastAsia="zh-CN"/>
        </w:rPr>
      </w:pPr>
    </w:p>
    <w:p w14:paraId="26D76388" w14:textId="40857016" w:rsidR="00142BD9" w:rsidRDefault="00000000">
      <w:pPr>
        <w:spacing w:before="160" w:after="120"/>
        <w:rPr>
          <w:lang w:eastAsia="zh-CN"/>
        </w:rPr>
      </w:pPr>
      <w:r>
        <w:rPr>
          <w:rFonts w:ascii="Arial" w:eastAsia="黑体" w:hAnsi="Arial"/>
          <w:b/>
          <w:color w:val="2E5C8A"/>
          <w:sz w:val="28"/>
          <w:lang w:eastAsia="zh-CN"/>
        </w:rPr>
        <w:t xml:space="preserve">2.1  </w:t>
      </w:r>
      <w:r>
        <w:rPr>
          <w:rFonts w:ascii="Arial" w:eastAsia="黑体" w:hAnsi="Arial"/>
          <w:b/>
          <w:color w:val="2E5C8A"/>
          <w:sz w:val="28"/>
          <w:lang w:eastAsia="zh-CN"/>
        </w:rPr>
        <w:t>经济政策环境</w:t>
      </w:r>
    </w:p>
    <w:p w14:paraId="30122835" w14:textId="77777777" w:rsidR="00142BD9" w:rsidRDefault="00000000">
      <w:pPr>
        <w:spacing w:after="80"/>
        <w:ind w:firstLine="480"/>
        <w:rPr>
          <w:lang w:eastAsia="zh-CN"/>
        </w:rPr>
      </w:pPr>
      <w:r>
        <w:rPr>
          <w:lang w:eastAsia="zh-CN"/>
        </w:rPr>
        <w:t>本节从宏观经济基本面和保险行业政策两个维度，分析</w:t>
      </w:r>
      <w:r>
        <w:rPr>
          <w:lang w:eastAsia="zh-CN"/>
        </w:rPr>
        <w:t>2026</w:t>
      </w:r>
      <w:r>
        <w:rPr>
          <w:lang w:eastAsia="zh-CN"/>
        </w:rPr>
        <w:t>年第二季度影响保险行业发展的外部环境因素。宏观经济温和复苏与监管政策持续优化共同构成了行业发展的制度背景。</w:t>
      </w:r>
    </w:p>
    <w:p w14:paraId="43E60BAB" w14:textId="77777777" w:rsidR="005579F5" w:rsidRDefault="005579F5">
      <w:pPr>
        <w:spacing w:before="160" w:after="120"/>
        <w:rPr>
          <w:color w:val="AAAAAA"/>
          <w:sz w:val="18"/>
          <w:lang w:eastAsia="zh-CN"/>
        </w:rPr>
      </w:pPr>
    </w:p>
    <w:p w14:paraId="025C15FE" w14:textId="1416A5DF" w:rsidR="00142BD9" w:rsidRDefault="00000000">
      <w:pPr>
        <w:spacing w:before="160" w:after="120"/>
        <w:rPr>
          <w:lang w:eastAsia="zh-CN"/>
        </w:rPr>
      </w:pPr>
      <w:r>
        <w:rPr>
          <w:rFonts w:ascii="Arial" w:eastAsia="黑体" w:hAnsi="Arial"/>
          <w:b/>
          <w:color w:val="2E5C8A"/>
          <w:sz w:val="28"/>
          <w:lang w:eastAsia="zh-CN"/>
        </w:rPr>
        <w:t xml:space="preserve">3.1  </w:t>
      </w:r>
      <w:r>
        <w:rPr>
          <w:rFonts w:ascii="Arial" w:eastAsia="黑体" w:hAnsi="Arial"/>
          <w:b/>
          <w:color w:val="2E5C8A"/>
          <w:sz w:val="28"/>
          <w:lang w:eastAsia="zh-CN"/>
        </w:rPr>
        <w:t>整体保费规模</w:t>
      </w:r>
    </w:p>
    <w:p w14:paraId="21C473A9" w14:textId="77777777" w:rsidR="00142BD9" w:rsidRDefault="00000000">
      <w:pPr>
        <w:spacing w:after="80"/>
        <w:ind w:firstLine="480"/>
        <w:rPr>
          <w:lang w:eastAsia="zh-CN"/>
        </w:rPr>
      </w:pPr>
      <w:r>
        <w:rPr>
          <w:lang w:eastAsia="zh-CN"/>
        </w:rPr>
        <w:t>2026</w:t>
      </w:r>
      <w:r>
        <w:rPr>
          <w:lang w:eastAsia="zh-CN"/>
        </w:rPr>
        <w:t>年第二季度，保险行业保费收入总体保持稳健增长，但增速较一季度有所回落。全行业原保险保费收入达到</w:t>
      </w:r>
      <w:r>
        <w:rPr>
          <w:lang w:eastAsia="zh-CN"/>
        </w:rPr>
        <w:t>2.18</w:t>
      </w:r>
      <w:proofErr w:type="gramStart"/>
      <w:r>
        <w:rPr>
          <w:lang w:eastAsia="zh-CN"/>
        </w:rPr>
        <w:t>万亿</w:t>
      </w:r>
      <w:proofErr w:type="gramEnd"/>
      <w:r>
        <w:rPr>
          <w:lang w:eastAsia="zh-CN"/>
        </w:rPr>
        <w:t>元，同比增长</w:t>
      </w:r>
      <w:r>
        <w:rPr>
          <w:lang w:eastAsia="zh-CN"/>
        </w:rPr>
        <w:t>6.8%</w:t>
      </w:r>
      <w:r>
        <w:rPr>
          <w:lang w:eastAsia="zh-CN"/>
        </w:rPr>
        <w:t>。</w:t>
      </w:r>
    </w:p>
    <w:p w14:paraId="6A605661" w14:textId="77777777" w:rsidR="005579F5" w:rsidRDefault="005579F5">
      <w:pPr>
        <w:spacing w:before="160" w:after="120"/>
        <w:rPr>
          <w:rFonts w:ascii="Arial" w:eastAsia="黑体" w:hAnsi="Arial"/>
          <w:b/>
          <w:color w:val="2E5C8A"/>
          <w:sz w:val="28"/>
          <w:lang w:eastAsia="zh-CN"/>
        </w:rPr>
      </w:pPr>
    </w:p>
    <w:p w14:paraId="7B65CEDE" w14:textId="0A75F5B8" w:rsidR="00142BD9" w:rsidRDefault="00000000">
      <w:pPr>
        <w:spacing w:before="160" w:after="120"/>
        <w:rPr>
          <w:lang w:eastAsia="zh-CN"/>
        </w:rPr>
      </w:pPr>
      <w:r>
        <w:rPr>
          <w:rFonts w:ascii="Arial" w:eastAsia="黑体" w:hAnsi="Arial"/>
          <w:b/>
          <w:color w:val="2E5C8A"/>
          <w:sz w:val="28"/>
          <w:lang w:eastAsia="zh-CN"/>
        </w:rPr>
        <w:t xml:space="preserve">5.1  </w:t>
      </w:r>
      <w:r>
        <w:rPr>
          <w:rFonts w:ascii="Arial" w:eastAsia="黑体" w:hAnsi="Arial"/>
          <w:b/>
          <w:color w:val="2E5C8A"/>
          <w:sz w:val="28"/>
          <w:lang w:eastAsia="zh-CN"/>
        </w:rPr>
        <w:t>线下渠道</w:t>
      </w:r>
    </w:p>
    <w:p w14:paraId="0BBE0400" w14:textId="77777777" w:rsidR="00142BD9" w:rsidRDefault="00000000">
      <w:pPr>
        <w:spacing w:after="80"/>
        <w:ind w:firstLine="480"/>
        <w:rPr>
          <w:lang w:eastAsia="zh-CN"/>
        </w:rPr>
      </w:pPr>
      <w:r>
        <w:rPr>
          <w:lang w:eastAsia="zh-CN"/>
        </w:rPr>
        <w:t>线下渠道仍然是保险销售的主力，但占</w:t>
      </w:r>
      <w:proofErr w:type="gramStart"/>
      <w:r>
        <w:rPr>
          <w:lang w:eastAsia="zh-CN"/>
        </w:rPr>
        <w:t>比持续</w:t>
      </w:r>
      <w:proofErr w:type="gramEnd"/>
      <w:r>
        <w:rPr>
          <w:lang w:eastAsia="zh-CN"/>
        </w:rPr>
        <w:t>下降。二季度线下渠道保费收入占比为</w:t>
      </w:r>
      <w:r>
        <w:rPr>
          <w:lang w:eastAsia="zh-CN"/>
        </w:rPr>
        <w:t>74.8%</w:t>
      </w:r>
      <w:r>
        <w:rPr>
          <w:lang w:eastAsia="zh-CN"/>
        </w:rPr>
        <w:t>，较去年同期下降</w:t>
      </w:r>
      <w:r>
        <w:rPr>
          <w:lang w:eastAsia="zh-CN"/>
        </w:rPr>
        <w:t>2.5</w:t>
      </w:r>
      <w:r>
        <w:rPr>
          <w:lang w:eastAsia="zh-CN"/>
        </w:rPr>
        <w:t>个百分点。</w:t>
      </w:r>
    </w:p>
    <w:sectPr w:rsidR="00142BD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9E458" w14:textId="77777777" w:rsidR="004218ED" w:rsidRDefault="004218ED" w:rsidP="005579F5">
      <w:pPr>
        <w:spacing w:after="0" w:line="240" w:lineRule="auto"/>
      </w:pPr>
      <w:r>
        <w:separator/>
      </w:r>
    </w:p>
  </w:endnote>
  <w:endnote w:type="continuationSeparator" w:id="0">
    <w:p w14:paraId="3D76B401" w14:textId="77777777" w:rsidR="004218ED" w:rsidRDefault="004218ED" w:rsidP="00557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E5D1D" w14:textId="77777777" w:rsidR="004218ED" w:rsidRDefault="004218ED" w:rsidP="005579F5">
      <w:pPr>
        <w:spacing w:after="0" w:line="240" w:lineRule="auto"/>
      </w:pPr>
      <w:r>
        <w:separator/>
      </w:r>
    </w:p>
  </w:footnote>
  <w:footnote w:type="continuationSeparator" w:id="0">
    <w:p w14:paraId="3460CB11" w14:textId="77777777" w:rsidR="004218ED" w:rsidRDefault="004218ED" w:rsidP="005579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48640905">
    <w:abstractNumId w:val="8"/>
  </w:num>
  <w:num w:numId="2" w16cid:durableId="1906065376">
    <w:abstractNumId w:val="6"/>
  </w:num>
  <w:num w:numId="3" w16cid:durableId="1203521329">
    <w:abstractNumId w:val="5"/>
  </w:num>
  <w:num w:numId="4" w16cid:durableId="1612594462">
    <w:abstractNumId w:val="4"/>
  </w:num>
  <w:num w:numId="5" w16cid:durableId="859587909">
    <w:abstractNumId w:val="7"/>
  </w:num>
  <w:num w:numId="6" w16cid:durableId="1748382857">
    <w:abstractNumId w:val="3"/>
  </w:num>
  <w:num w:numId="7" w16cid:durableId="545529114">
    <w:abstractNumId w:val="2"/>
  </w:num>
  <w:num w:numId="8" w16cid:durableId="2000308953">
    <w:abstractNumId w:val="1"/>
  </w:num>
  <w:num w:numId="9" w16cid:durableId="1864855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BD9"/>
    <w:rsid w:val="0015074B"/>
    <w:rsid w:val="0029639D"/>
    <w:rsid w:val="00326F90"/>
    <w:rsid w:val="004218ED"/>
    <w:rsid w:val="005579F5"/>
    <w:rsid w:val="006C36DC"/>
    <w:rsid w:val="008B62BA"/>
    <w:rsid w:val="009D4B1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61BFCE"/>
  <w14:defaultImageDpi w14:val="300"/>
  <w15:docId w15:val="{228C7E09-A542-4E78-BD92-1A856B8CA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270</Words>
  <Characters>1542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Liping Zhang</cp:lastModifiedBy>
  <cp:revision>3</cp:revision>
  <dcterms:created xsi:type="dcterms:W3CDTF">2013-12-23T23:15:00Z</dcterms:created>
  <dcterms:modified xsi:type="dcterms:W3CDTF">2026-07-20T03:35:00Z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b80163-c6cf-4afe-a199-75bad8630663_Enabled">
    <vt:lpwstr>true</vt:lpwstr>
  </property>
  <property fmtid="{D5CDD505-2E9C-101B-9397-08002B2CF9AE}" pid="3" name="MSIP_Label_93b80163-c6cf-4afe-a199-75bad8630663_SetDate">
    <vt:lpwstr>2026-07-20T03:33:48Z</vt:lpwstr>
  </property>
  <property fmtid="{D5CDD505-2E9C-101B-9397-08002B2CF9AE}" pid="4" name="MSIP_Label_93b80163-c6cf-4afe-a199-75bad8630663_Method">
    <vt:lpwstr>Standard</vt:lpwstr>
  </property>
  <property fmtid="{D5CDD505-2E9C-101B-9397-08002B2CF9AE}" pid="5" name="MSIP_Label_93b80163-c6cf-4afe-a199-75bad8630663_Name">
    <vt:lpwstr>C4</vt:lpwstr>
  </property>
  <property fmtid="{D5CDD505-2E9C-101B-9397-08002B2CF9AE}" pid="6" name="MSIP_Label_93b80163-c6cf-4afe-a199-75bad8630663_SiteId">
    <vt:lpwstr>036145e5-89f4-4be7-8083-d1cbb255daf3</vt:lpwstr>
  </property>
  <property fmtid="{D5CDD505-2E9C-101B-9397-08002B2CF9AE}" pid="7" name="MSIP_Label_93b80163-c6cf-4afe-a199-75bad8630663_ActionId">
    <vt:lpwstr>4bfa82ad-9476-4bd4-bf55-95600ddef3ab</vt:lpwstr>
  </property>
  <property fmtid="{D5CDD505-2E9C-101B-9397-08002B2CF9AE}" pid="8" name="MSIP_Label_93b80163-c6cf-4afe-a199-75bad8630663_ContentBits">
    <vt:lpwstr>0</vt:lpwstr>
  </property>
  <property fmtid="{D5CDD505-2E9C-101B-9397-08002B2CF9AE}" pid="9" name="MSIP_Label_93b80163-c6cf-4afe-a199-75bad8630663_Tag">
    <vt:lpwstr>10, 3, 0, 1</vt:lpwstr>
  </property>
</Properties>
</file>