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A942" w14:textId="77777777" w:rsidR="00221B59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4.2  </w:t>
      </w:r>
      <w:r>
        <w:rPr>
          <w:rFonts w:ascii="Arial" w:eastAsia="黑体" w:hAnsi="Arial"/>
          <w:b/>
          <w:color w:val="2E5C8A"/>
          <w:sz w:val="28"/>
          <w:lang w:eastAsia="zh-CN"/>
        </w:rPr>
        <w:t>新兴保险产品发展</w:t>
      </w:r>
    </w:p>
    <w:p w14:paraId="10815027" w14:textId="77777777" w:rsidR="00221B5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数字化转型催生了一批新兴保险产品，以场景化、碎片化、定制化为特征，成为行业增长的新动能。</w:t>
      </w:r>
    </w:p>
    <w:p w14:paraId="4BEC8F5B" w14:textId="77777777" w:rsidR="00221B59" w:rsidRDefault="00000000">
      <w:pPr>
        <w:spacing w:before="120" w:after="40"/>
      </w:pPr>
      <w:r>
        <w:rPr>
          <w:b/>
        </w:rPr>
        <w:t>互联网保险产品</w:t>
      </w:r>
    </w:p>
    <w:p w14:paraId="4D446FD2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场景化保险产品覆盖电商、出行、社交等</w:t>
      </w:r>
      <w:r>
        <w:rPr>
          <w:sz w:val="21"/>
          <w:lang w:eastAsia="zh-CN"/>
        </w:rPr>
        <w:t>200</w:t>
      </w:r>
      <w:r>
        <w:rPr>
          <w:sz w:val="21"/>
          <w:lang w:eastAsia="zh-CN"/>
        </w:rPr>
        <w:t>余个细分场景</w:t>
      </w:r>
    </w:p>
    <w:p w14:paraId="5582BC5B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按需保险产品增长迅速，</w:t>
      </w:r>
      <w:r>
        <w:rPr>
          <w:sz w:val="21"/>
          <w:lang w:eastAsia="zh-CN"/>
        </w:rPr>
        <w:t>UBI</w:t>
      </w:r>
      <w:r>
        <w:rPr>
          <w:sz w:val="21"/>
          <w:lang w:eastAsia="zh-CN"/>
        </w:rPr>
        <w:t>车险试点城市扩大至</w:t>
      </w:r>
      <w:r>
        <w:rPr>
          <w:sz w:val="21"/>
          <w:lang w:eastAsia="zh-CN"/>
        </w:rPr>
        <w:t>15</w:t>
      </w:r>
      <w:r>
        <w:rPr>
          <w:sz w:val="21"/>
          <w:lang w:eastAsia="zh-CN"/>
        </w:rPr>
        <w:t>个</w:t>
      </w:r>
    </w:p>
    <w:p w14:paraId="1380CC92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宠物保险、齿科保险等垂直细分产品受到年轻客群青睐</w:t>
      </w:r>
    </w:p>
    <w:p w14:paraId="4F34CAE4" w14:textId="77777777" w:rsidR="00221B59" w:rsidRDefault="00000000">
      <w:pPr>
        <w:spacing w:before="120" w:after="40"/>
      </w:pPr>
      <w:r>
        <w:rPr>
          <w:b/>
        </w:rPr>
        <w:t>科技保险产品</w:t>
      </w:r>
    </w:p>
    <w:p w14:paraId="37585C1A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网络安全保险保费收入突破</w:t>
      </w:r>
      <w:r>
        <w:rPr>
          <w:sz w:val="21"/>
          <w:lang w:eastAsia="zh-CN"/>
        </w:rPr>
        <w:t>15</w:t>
      </w:r>
      <w:r>
        <w:rPr>
          <w:sz w:val="21"/>
          <w:lang w:eastAsia="zh-CN"/>
        </w:rPr>
        <w:t>亿元，同比增长</w:t>
      </w:r>
      <w:r>
        <w:rPr>
          <w:sz w:val="21"/>
          <w:lang w:eastAsia="zh-CN"/>
        </w:rPr>
        <w:t>85%</w:t>
      </w:r>
    </w:p>
    <w:p w14:paraId="53D23207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知识产权保险覆盖范围扩大至</w:t>
      </w:r>
      <w:r>
        <w:rPr>
          <w:sz w:val="21"/>
          <w:lang w:eastAsia="zh-CN"/>
        </w:rPr>
        <w:t>20</w:t>
      </w:r>
      <w:r>
        <w:rPr>
          <w:sz w:val="21"/>
          <w:lang w:eastAsia="zh-CN"/>
        </w:rPr>
        <w:t>个省级行政区</w:t>
      </w:r>
    </w:p>
    <w:p w14:paraId="41D6158D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绿色保险产品体系初步建立，涵盖碳交易、新能源、环保等领域</w:t>
      </w:r>
    </w:p>
    <w:p w14:paraId="4D05A859" w14:textId="77777777" w:rsidR="00221B59" w:rsidRDefault="00000000">
      <w:pPr>
        <w:spacing w:before="120" w:after="40"/>
      </w:pPr>
      <w:r>
        <w:rPr>
          <w:b/>
        </w:rPr>
        <w:t>创新趋势</w:t>
      </w:r>
    </w:p>
    <w:p w14:paraId="6D184E46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AI</w:t>
      </w:r>
      <w:r>
        <w:rPr>
          <w:sz w:val="21"/>
          <w:lang w:eastAsia="zh-CN"/>
        </w:rPr>
        <w:t>驱动的动态定价产品开始小范围试水</w:t>
      </w:r>
    </w:p>
    <w:p w14:paraId="587FBB81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区块链技术在再保险和理赔场景落地应用</w:t>
      </w:r>
    </w:p>
    <w:p w14:paraId="3749293E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保险</w:t>
      </w:r>
      <w:r>
        <w:rPr>
          <w:sz w:val="21"/>
          <w:lang w:eastAsia="zh-CN"/>
        </w:rPr>
        <w:t>+</w:t>
      </w:r>
      <w:r>
        <w:rPr>
          <w:sz w:val="21"/>
          <w:lang w:eastAsia="zh-CN"/>
        </w:rPr>
        <w:t>科技生态合作模式成为主流路径</w:t>
      </w:r>
    </w:p>
    <w:p w14:paraId="36D9A8F4" w14:textId="77777777" w:rsidR="00C67B95" w:rsidRDefault="00C67B95">
      <w:pPr>
        <w:spacing w:before="160" w:after="120"/>
        <w:rPr>
          <w:rFonts w:ascii="Arial" w:eastAsia="黑体" w:hAnsi="Arial"/>
          <w:b/>
          <w:color w:val="1F3864"/>
          <w:sz w:val="32"/>
          <w:lang w:eastAsia="zh-CN"/>
        </w:rPr>
      </w:pPr>
    </w:p>
    <w:p w14:paraId="1B3A897B" w14:textId="49BEC6B3" w:rsidR="00221B59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6.1  </w:t>
      </w:r>
      <w:r>
        <w:rPr>
          <w:rFonts w:ascii="Arial" w:eastAsia="黑体" w:hAnsi="Arial"/>
          <w:b/>
          <w:color w:val="2E5C8A"/>
          <w:sz w:val="28"/>
          <w:lang w:eastAsia="zh-CN"/>
        </w:rPr>
        <w:t>风险评估体系</w:t>
      </w:r>
    </w:p>
    <w:p w14:paraId="2FB8E450" w14:textId="77777777" w:rsidR="00221B5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二季度行业风险管理能力持续提升，偿付能力总体充足，风险防线进一步筑牢。</w:t>
      </w:r>
    </w:p>
    <w:p w14:paraId="631BA67B" w14:textId="77777777" w:rsidR="00221B59" w:rsidRDefault="00000000">
      <w:pPr>
        <w:spacing w:before="120" w:after="40"/>
      </w:pPr>
      <w:r>
        <w:rPr>
          <w:b/>
        </w:rPr>
        <w:t>偿付能力状况</w:t>
      </w:r>
    </w:p>
    <w:p w14:paraId="36CE9939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行业平均综合偿付能力充足率为</w:t>
      </w:r>
      <w:r>
        <w:rPr>
          <w:sz w:val="21"/>
          <w:lang w:eastAsia="zh-CN"/>
        </w:rPr>
        <w:t>196%</w:t>
      </w:r>
      <w:r>
        <w:rPr>
          <w:sz w:val="21"/>
          <w:lang w:eastAsia="zh-CN"/>
        </w:rPr>
        <w:t>，较一季度下降</w:t>
      </w:r>
      <w:r>
        <w:rPr>
          <w:sz w:val="21"/>
          <w:lang w:eastAsia="zh-CN"/>
        </w:rPr>
        <w:t>3</w:t>
      </w:r>
      <w:r>
        <w:rPr>
          <w:sz w:val="21"/>
          <w:lang w:eastAsia="zh-CN"/>
        </w:rPr>
        <w:t>个百分点</w:t>
      </w:r>
    </w:p>
    <w:p w14:paraId="2ED8DFB2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人身险公司平均核心偿付能力充足率为</w:t>
      </w:r>
      <w:r>
        <w:rPr>
          <w:sz w:val="21"/>
          <w:lang w:eastAsia="zh-CN"/>
        </w:rPr>
        <w:t>112%</w:t>
      </w:r>
    </w:p>
    <w:p w14:paraId="510A8E26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财产险公司平均综合偿付能力充足率为</w:t>
      </w:r>
      <w:r>
        <w:rPr>
          <w:sz w:val="21"/>
          <w:lang w:eastAsia="zh-CN"/>
        </w:rPr>
        <w:t>235%</w:t>
      </w:r>
    </w:p>
    <w:p w14:paraId="1CFC2385" w14:textId="77777777" w:rsidR="00221B59" w:rsidRDefault="00000000">
      <w:pPr>
        <w:spacing w:before="120" w:after="40"/>
      </w:pPr>
      <w:r>
        <w:rPr>
          <w:b/>
        </w:rPr>
        <w:t>风险管理强化</w:t>
      </w:r>
    </w:p>
    <w:p w14:paraId="0FEB6562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偿二代二期工程规则修订推进，穿透式监管要求加码</w:t>
      </w:r>
    </w:p>
    <w:p w14:paraId="549D1FB1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资产负债管理能力评估结果纳入分类监管</w:t>
      </w:r>
    </w:p>
    <w:p w14:paraId="2AD5A0E5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流动性风险监测指标体系完善</w:t>
      </w:r>
    </w:p>
    <w:p w14:paraId="608A31A1" w14:textId="77777777" w:rsidR="00221B59" w:rsidRDefault="00000000">
      <w:pPr>
        <w:spacing w:before="120" w:after="40"/>
      </w:pPr>
      <w:r>
        <w:rPr>
          <w:b/>
        </w:rPr>
        <w:t>压力测试</w:t>
      </w:r>
    </w:p>
    <w:p w14:paraId="309ECF6C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利率下行</w:t>
      </w:r>
      <w:r>
        <w:rPr>
          <w:sz w:val="21"/>
          <w:lang w:eastAsia="zh-CN"/>
        </w:rPr>
        <w:t>100BP</w:t>
      </w:r>
      <w:r>
        <w:rPr>
          <w:sz w:val="21"/>
          <w:lang w:eastAsia="zh-CN"/>
        </w:rPr>
        <w:t>情景下，约</w:t>
      </w:r>
      <w:r>
        <w:rPr>
          <w:sz w:val="21"/>
          <w:lang w:eastAsia="zh-CN"/>
        </w:rPr>
        <w:t>15%</w:t>
      </w:r>
      <w:r>
        <w:rPr>
          <w:sz w:val="21"/>
          <w:lang w:eastAsia="zh-CN"/>
        </w:rPr>
        <w:t>的人身险公司出现利差损</w:t>
      </w:r>
    </w:p>
    <w:p w14:paraId="57882538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权益市场下跌</w:t>
      </w:r>
      <w:r>
        <w:rPr>
          <w:sz w:val="21"/>
          <w:lang w:eastAsia="zh-CN"/>
        </w:rPr>
        <w:t>20%</w:t>
      </w:r>
      <w:r>
        <w:rPr>
          <w:sz w:val="21"/>
          <w:lang w:eastAsia="zh-CN"/>
        </w:rPr>
        <w:t>情景下，行业偿付能力下降约</w:t>
      </w:r>
      <w:r>
        <w:rPr>
          <w:sz w:val="21"/>
          <w:lang w:eastAsia="zh-CN"/>
        </w:rPr>
        <w:t>8</w:t>
      </w:r>
      <w:r>
        <w:rPr>
          <w:sz w:val="21"/>
          <w:lang w:eastAsia="zh-CN"/>
        </w:rPr>
        <w:t>个百分点</w:t>
      </w:r>
    </w:p>
    <w:p w14:paraId="1D08BE05" w14:textId="77777777" w:rsidR="00221B59" w:rsidRDefault="00000000">
      <w:pPr>
        <w:pStyle w:val="a0"/>
        <w:spacing w:after="20"/>
        <w:rPr>
          <w:lang w:eastAsia="zh-CN"/>
        </w:rPr>
      </w:pPr>
      <w:r>
        <w:rPr>
          <w:sz w:val="21"/>
          <w:lang w:eastAsia="zh-CN"/>
        </w:rPr>
        <w:t>巨灾情景测试覆盖范围扩大至所有经营巨灾险种的机构</w:t>
      </w:r>
    </w:p>
    <w:p w14:paraId="6E29394F" w14:textId="77777777" w:rsidR="00C67B95" w:rsidRDefault="00C67B95">
      <w:pPr>
        <w:spacing w:before="160" w:after="120"/>
        <w:rPr>
          <w:color w:val="AAAAAA"/>
          <w:sz w:val="18"/>
          <w:lang w:eastAsia="zh-CN"/>
        </w:rPr>
      </w:pPr>
    </w:p>
    <w:p w14:paraId="7482B220" w14:textId="626F980E" w:rsidR="00221B59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2.2  </w:t>
      </w:r>
      <w:r>
        <w:rPr>
          <w:rFonts w:ascii="Arial" w:eastAsia="黑体" w:hAnsi="Arial"/>
          <w:b/>
          <w:color w:val="2E5C8A"/>
          <w:sz w:val="28"/>
          <w:lang w:eastAsia="zh-CN"/>
        </w:rPr>
        <w:t>利率与资金面</w:t>
      </w:r>
    </w:p>
    <w:p w14:paraId="54F867BD" w14:textId="77777777" w:rsidR="00221B5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lastRenderedPageBreak/>
        <w:t>利率环境是影响保险行业经营的核心变量之一。本季度利率走势呈现出</w:t>
      </w:r>
      <w:r>
        <w:rPr>
          <w:lang w:eastAsia="zh-CN"/>
        </w:rPr>
        <w:t>"</w:t>
      </w:r>
      <w:r>
        <w:rPr>
          <w:lang w:eastAsia="zh-CN"/>
        </w:rPr>
        <w:t>低位平稳、结构分化</w:t>
      </w:r>
      <w:r>
        <w:rPr>
          <w:lang w:eastAsia="zh-CN"/>
        </w:rPr>
        <w:t>"</w:t>
      </w:r>
      <w:r>
        <w:rPr>
          <w:lang w:eastAsia="zh-CN"/>
        </w:rPr>
        <w:t>的特征，对险企的资产配置和负债端定价均产生了深远影响。</w:t>
      </w:r>
    </w:p>
    <w:p w14:paraId="6B5CCE9F" w14:textId="77777777" w:rsidR="00C67B95" w:rsidRDefault="00C67B95">
      <w:pPr>
        <w:spacing w:before="160" w:after="120"/>
        <w:rPr>
          <w:color w:val="AAAAAA"/>
          <w:sz w:val="18"/>
          <w:lang w:eastAsia="zh-CN"/>
        </w:rPr>
      </w:pPr>
    </w:p>
    <w:p w14:paraId="0D5FB0C2" w14:textId="57337002" w:rsidR="00221B59" w:rsidRDefault="00000000">
      <w:pPr>
        <w:spacing w:before="160" w:after="120"/>
        <w:rPr>
          <w:lang w:eastAsia="zh-CN"/>
        </w:rPr>
      </w:pPr>
      <w:r>
        <w:rPr>
          <w:rFonts w:ascii="Arial" w:eastAsia="黑体" w:hAnsi="Arial"/>
          <w:b/>
          <w:color w:val="2E5C8A"/>
          <w:sz w:val="28"/>
          <w:lang w:eastAsia="zh-CN"/>
        </w:rPr>
        <w:t xml:space="preserve">3.2  </w:t>
      </w:r>
      <w:r>
        <w:rPr>
          <w:rFonts w:ascii="Arial" w:eastAsia="黑体" w:hAnsi="Arial"/>
          <w:b/>
          <w:color w:val="2E5C8A"/>
          <w:sz w:val="28"/>
          <w:lang w:eastAsia="zh-CN"/>
        </w:rPr>
        <w:t>分险种保费结构</w:t>
      </w:r>
    </w:p>
    <w:p w14:paraId="2B0CAC83" w14:textId="77777777" w:rsidR="00221B59" w:rsidRDefault="00000000">
      <w:pPr>
        <w:spacing w:after="80"/>
        <w:ind w:firstLine="480"/>
        <w:rPr>
          <w:lang w:eastAsia="zh-CN"/>
        </w:rPr>
      </w:pPr>
      <w:r>
        <w:rPr>
          <w:lang w:eastAsia="zh-CN"/>
        </w:rPr>
        <w:t>本季度各险种保费收入结构出现明显调整，健康险和养老险占比持续提升，传统寿险占比下降，产品结构优化趋势明显。</w:t>
      </w:r>
    </w:p>
    <w:sectPr w:rsidR="00221B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6070" w14:textId="77777777" w:rsidR="00FE5285" w:rsidRDefault="00FE5285" w:rsidP="00C67B95">
      <w:pPr>
        <w:spacing w:after="0" w:line="240" w:lineRule="auto"/>
      </w:pPr>
      <w:r>
        <w:separator/>
      </w:r>
    </w:p>
  </w:endnote>
  <w:endnote w:type="continuationSeparator" w:id="0">
    <w:p w14:paraId="069A3716" w14:textId="77777777" w:rsidR="00FE5285" w:rsidRDefault="00FE5285" w:rsidP="00C67B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C78B5" w14:textId="77777777" w:rsidR="00FE5285" w:rsidRDefault="00FE5285" w:rsidP="00C67B95">
      <w:pPr>
        <w:spacing w:after="0" w:line="240" w:lineRule="auto"/>
      </w:pPr>
      <w:r>
        <w:separator/>
      </w:r>
    </w:p>
  </w:footnote>
  <w:footnote w:type="continuationSeparator" w:id="0">
    <w:p w14:paraId="5016BAEA" w14:textId="77777777" w:rsidR="00FE5285" w:rsidRDefault="00FE5285" w:rsidP="00C67B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0879497">
    <w:abstractNumId w:val="8"/>
  </w:num>
  <w:num w:numId="2" w16cid:durableId="189759017">
    <w:abstractNumId w:val="6"/>
  </w:num>
  <w:num w:numId="3" w16cid:durableId="2059553064">
    <w:abstractNumId w:val="5"/>
  </w:num>
  <w:num w:numId="4" w16cid:durableId="772626867">
    <w:abstractNumId w:val="4"/>
  </w:num>
  <w:num w:numId="5" w16cid:durableId="1299260793">
    <w:abstractNumId w:val="7"/>
  </w:num>
  <w:num w:numId="6" w16cid:durableId="548762154">
    <w:abstractNumId w:val="3"/>
  </w:num>
  <w:num w:numId="7" w16cid:durableId="718943157">
    <w:abstractNumId w:val="2"/>
  </w:num>
  <w:num w:numId="8" w16cid:durableId="1642686331">
    <w:abstractNumId w:val="1"/>
  </w:num>
  <w:num w:numId="9" w16cid:durableId="728041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B59"/>
    <w:rsid w:val="0029639D"/>
    <w:rsid w:val="00326F90"/>
    <w:rsid w:val="008B62BA"/>
    <w:rsid w:val="00AA1D8D"/>
    <w:rsid w:val="00B47730"/>
    <w:rsid w:val="00C67B95"/>
    <w:rsid w:val="00CB0664"/>
    <w:rsid w:val="00FC693F"/>
    <w:rsid w:val="00FE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066ED11"/>
  <w14:defaultImageDpi w14:val="300"/>
  <w15:docId w15:val="{228C7E09-A542-4E78-BD92-1A856B8CA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Liping Zhang</cp:lastModifiedBy>
  <cp:revision>2</cp:revision>
  <dcterms:created xsi:type="dcterms:W3CDTF">2013-12-23T23:15:00Z</dcterms:created>
  <dcterms:modified xsi:type="dcterms:W3CDTF">2026-07-20T03:34:00Z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3b80163-c6cf-4afe-a199-75bad8630663_Enabled">
    <vt:lpwstr>true</vt:lpwstr>
  </property>
  <property fmtid="{D5CDD505-2E9C-101B-9397-08002B2CF9AE}" pid="3" name="MSIP_Label_93b80163-c6cf-4afe-a199-75bad8630663_SetDate">
    <vt:lpwstr>2026-07-20T03:34:37Z</vt:lpwstr>
  </property>
  <property fmtid="{D5CDD505-2E9C-101B-9397-08002B2CF9AE}" pid="4" name="MSIP_Label_93b80163-c6cf-4afe-a199-75bad8630663_Method">
    <vt:lpwstr>Standard</vt:lpwstr>
  </property>
  <property fmtid="{D5CDD505-2E9C-101B-9397-08002B2CF9AE}" pid="5" name="MSIP_Label_93b80163-c6cf-4afe-a199-75bad8630663_Name">
    <vt:lpwstr>C4</vt:lpwstr>
  </property>
  <property fmtid="{D5CDD505-2E9C-101B-9397-08002B2CF9AE}" pid="6" name="MSIP_Label_93b80163-c6cf-4afe-a199-75bad8630663_SiteId">
    <vt:lpwstr>036145e5-89f4-4be7-8083-d1cbb255daf3</vt:lpwstr>
  </property>
  <property fmtid="{D5CDD505-2E9C-101B-9397-08002B2CF9AE}" pid="7" name="MSIP_Label_93b80163-c6cf-4afe-a199-75bad8630663_ActionId">
    <vt:lpwstr>700b6542-cf97-445b-bf74-0857fc01aa8e</vt:lpwstr>
  </property>
  <property fmtid="{D5CDD505-2E9C-101B-9397-08002B2CF9AE}" pid="8" name="MSIP_Label_93b80163-c6cf-4afe-a199-75bad8630663_ContentBits">
    <vt:lpwstr>0</vt:lpwstr>
  </property>
  <property fmtid="{D5CDD505-2E9C-101B-9397-08002B2CF9AE}" pid="9" name="MSIP_Label_93b80163-c6cf-4afe-a199-75bad8630663_Tag">
    <vt:lpwstr>10, 3, 0, 1</vt:lpwstr>
  </property>
</Properties>
</file>