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D793" w14:textId="77777777" w:rsidR="008F6275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5.1.2  </w:t>
      </w:r>
      <w:r>
        <w:rPr>
          <w:rFonts w:ascii="Arial" w:eastAsia="黑体" w:hAnsi="Arial"/>
          <w:b/>
          <w:color w:val="404040"/>
          <w:sz w:val="25"/>
          <w:lang w:eastAsia="zh-CN"/>
        </w:rPr>
        <w:t>银保渠道分析</w:t>
      </w:r>
    </w:p>
    <w:p w14:paraId="6530EC21" w14:textId="77777777" w:rsidR="008F6275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银保渠道本季度表现亮眼，实现保费收入</w:t>
      </w:r>
      <w:r>
        <w:rPr>
          <w:lang w:eastAsia="zh-CN"/>
        </w:rPr>
        <w:t>6,500</w:t>
      </w:r>
      <w:r>
        <w:rPr>
          <w:lang w:eastAsia="zh-CN"/>
        </w:rPr>
        <w:t>亿元，同比增长</w:t>
      </w:r>
      <w:r>
        <w:rPr>
          <w:lang w:eastAsia="zh-CN"/>
        </w:rPr>
        <w:t>9.2%</w:t>
      </w:r>
      <w:r>
        <w:rPr>
          <w:lang w:eastAsia="zh-CN"/>
        </w:rPr>
        <w:t>，增速领跑各渠道。</w:t>
      </w:r>
    </w:p>
    <w:p w14:paraId="20DFA401" w14:textId="77777777" w:rsidR="008F6275" w:rsidRDefault="00000000">
      <w:pPr>
        <w:spacing w:before="120" w:after="40"/>
      </w:pPr>
      <w:r>
        <w:rPr>
          <w:b/>
        </w:rPr>
        <w:t>渠道发展特点</w:t>
      </w:r>
    </w:p>
    <w:p w14:paraId="3EA37110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长期期交产品占比提升至</w:t>
      </w:r>
      <w:r>
        <w:rPr>
          <w:sz w:val="21"/>
          <w:lang w:eastAsia="zh-CN"/>
        </w:rPr>
        <w:t>45%</w:t>
      </w:r>
      <w:r>
        <w:rPr>
          <w:sz w:val="21"/>
          <w:lang w:eastAsia="zh-CN"/>
        </w:rPr>
        <w:t>，业务质量持续改善</w:t>
      </w:r>
    </w:p>
    <w:p w14:paraId="1F353D38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存量客户经营深化，老客户加保率提升至</w:t>
      </w:r>
      <w:r>
        <w:rPr>
          <w:sz w:val="21"/>
          <w:lang w:eastAsia="zh-CN"/>
        </w:rPr>
        <w:t>28%</w:t>
      </w:r>
    </w:p>
    <w:p w14:paraId="587A4EFB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银行网点保险销售专业化程度提高</w:t>
      </w:r>
    </w:p>
    <w:p w14:paraId="6734D184" w14:textId="77777777" w:rsidR="008F6275" w:rsidRDefault="00000000">
      <w:pPr>
        <w:spacing w:before="120" w:after="40"/>
      </w:pPr>
      <w:r>
        <w:rPr>
          <w:b/>
        </w:rPr>
        <w:t>合作模式创新</w:t>
      </w:r>
    </w:p>
    <w:p w14:paraId="7056A917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"</w:t>
      </w:r>
      <w:r>
        <w:rPr>
          <w:sz w:val="21"/>
          <w:lang w:eastAsia="zh-CN"/>
        </w:rPr>
        <w:t>网点</w:t>
      </w:r>
      <w:r>
        <w:rPr>
          <w:sz w:val="21"/>
          <w:lang w:eastAsia="zh-CN"/>
        </w:rPr>
        <w:t>+APP"</w:t>
      </w:r>
      <w:r>
        <w:rPr>
          <w:sz w:val="21"/>
          <w:lang w:eastAsia="zh-CN"/>
        </w:rPr>
        <w:t>双线融合模式推广</w:t>
      </w:r>
    </w:p>
    <w:p w14:paraId="47A1C606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银行系险企协同效应显现，保费增速高于行业平均</w:t>
      </w:r>
    </w:p>
    <w:p w14:paraId="2436B8F6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财富管理与保险保障融合，高端客户专属产品线丰富</w:t>
      </w:r>
    </w:p>
    <w:p w14:paraId="4387F790" w14:textId="77777777" w:rsidR="00C60D10" w:rsidRDefault="00C60D10">
      <w:pPr>
        <w:spacing w:before="240" w:after="120"/>
        <w:rPr>
          <w:color w:val="AAAAAA"/>
          <w:sz w:val="18"/>
          <w:lang w:eastAsia="zh-CN"/>
        </w:rPr>
      </w:pPr>
    </w:p>
    <w:p w14:paraId="33D737CE" w14:textId="77777777" w:rsidR="008F6275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2.1.2  </w:t>
      </w:r>
      <w:r>
        <w:rPr>
          <w:rFonts w:ascii="Arial" w:eastAsia="黑体" w:hAnsi="Arial"/>
          <w:b/>
          <w:color w:val="404040"/>
          <w:sz w:val="25"/>
          <w:lang w:eastAsia="zh-CN"/>
        </w:rPr>
        <w:t>保险行业政策动态</w:t>
      </w:r>
    </w:p>
    <w:p w14:paraId="6284A3B7" w14:textId="77777777" w:rsidR="008F6275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年第二季度，监管层围绕防风险、促改革、惠民生三条主线，密集出台了一系列政策措施，对行业格局产生了深远影响。</w:t>
      </w:r>
    </w:p>
    <w:p w14:paraId="15898112" w14:textId="77777777" w:rsidR="008F6275" w:rsidRDefault="00000000">
      <w:pPr>
        <w:spacing w:before="120" w:after="40"/>
      </w:pPr>
      <w:r>
        <w:rPr>
          <w:b/>
        </w:rPr>
        <w:t>监管政策调整</w:t>
      </w:r>
    </w:p>
    <w:p w14:paraId="57293DFE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国家金融监督管理总局发布《关于优化保险产品审批流程的通知》，简化了部分险种的备案程序</w:t>
      </w:r>
    </w:p>
    <w:p w14:paraId="643C2ACA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《保险资金运用管理办法》修订版正式实施，拓宽了险资配置范围</w:t>
      </w:r>
    </w:p>
    <w:p w14:paraId="73426856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个人养老金制度试点范围扩大至全国，为商业养老保险带来增量空间</w:t>
      </w:r>
    </w:p>
    <w:p w14:paraId="55A9AD18" w14:textId="77777777" w:rsidR="008F6275" w:rsidRDefault="00000000">
      <w:pPr>
        <w:spacing w:before="120" w:after="40"/>
      </w:pPr>
      <w:r>
        <w:rPr>
          <w:b/>
        </w:rPr>
        <w:t>行业规范升级</w:t>
      </w:r>
    </w:p>
    <w:p w14:paraId="69624350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车险综合改革进入深化期，自主定价系数浮动范围进一步扩大</w:t>
      </w:r>
    </w:p>
    <w:p w14:paraId="79BD4CD8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健康险核保理赔标准统一化推进，行业数据共享机制初步建立</w:t>
      </w:r>
    </w:p>
    <w:p w14:paraId="6E39F32D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互联网保险监管细则完善，明确平台经营资质和信息披露要求</w:t>
      </w:r>
    </w:p>
    <w:p w14:paraId="4032F72A" w14:textId="77777777" w:rsidR="008F6275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政策环境的持续优化为保险行业高质量发展提供了制度保障，同时也对险企的合规经营提出了更高要求。</w:t>
      </w:r>
    </w:p>
    <w:p w14:paraId="44CABA68" w14:textId="77777777" w:rsidR="00C60D10" w:rsidRDefault="00C60D10">
      <w:pPr>
        <w:spacing w:before="160" w:after="120"/>
        <w:rPr>
          <w:color w:val="AAAAAA"/>
          <w:sz w:val="18"/>
          <w:lang w:eastAsia="zh-CN"/>
        </w:rPr>
      </w:pPr>
    </w:p>
    <w:p w14:paraId="19637672" w14:textId="523134FD" w:rsidR="008F6275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3.1.2  </w:t>
      </w:r>
      <w:r>
        <w:rPr>
          <w:rFonts w:ascii="Arial" w:eastAsia="黑体" w:hAnsi="Arial"/>
          <w:b/>
          <w:color w:val="404040"/>
          <w:sz w:val="25"/>
          <w:lang w:eastAsia="zh-CN"/>
        </w:rPr>
        <w:t>赔付支出情况</w:t>
      </w:r>
    </w:p>
    <w:p w14:paraId="17C3C277" w14:textId="77777777" w:rsidR="008F6275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二季度，全行业赔付支出</w:t>
      </w:r>
      <w:r>
        <w:rPr>
          <w:lang w:eastAsia="zh-CN"/>
        </w:rPr>
        <w:t>6,850</w:t>
      </w:r>
      <w:r>
        <w:rPr>
          <w:lang w:eastAsia="zh-CN"/>
        </w:rPr>
        <w:t>亿元，同比增长</w:t>
      </w:r>
      <w:r>
        <w:rPr>
          <w:lang w:eastAsia="zh-CN"/>
        </w:rPr>
        <w:t>8.1%</w:t>
      </w:r>
      <w:r>
        <w:rPr>
          <w:lang w:eastAsia="zh-CN"/>
        </w:rPr>
        <w:t>，赔付增速高于保费增速，反映出理赔压力有所上升。</w:t>
      </w:r>
    </w:p>
    <w:p w14:paraId="4C081AE8" w14:textId="77777777" w:rsidR="008F6275" w:rsidRDefault="00000000">
      <w:pPr>
        <w:spacing w:before="120" w:after="40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1</w:t>
      </w:r>
      <w:r>
        <w:rPr>
          <w:b/>
          <w:lang w:eastAsia="zh-CN"/>
        </w:rPr>
        <w:t>：</w:t>
      </w:r>
      <w:r>
        <w:rPr>
          <w:b/>
          <w:lang w:eastAsia="zh-CN"/>
        </w:rPr>
        <w:t>2026</w:t>
      </w:r>
      <w:r>
        <w:rPr>
          <w:b/>
          <w:lang w:eastAsia="zh-CN"/>
        </w:rPr>
        <w:t>年</w:t>
      </w:r>
      <w:r>
        <w:rPr>
          <w:b/>
          <w:lang w:eastAsia="zh-CN"/>
        </w:rPr>
        <w:t>Q2</w:t>
      </w:r>
      <w:r>
        <w:rPr>
          <w:b/>
          <w:lang w:eastAsia="zh-CN"/>
        </w:rPr>
        <w:t>分险种赔付情况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6275" w14:paraId="47CFCD80" w14:textId="77777777" w:rsidTr="008F6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FD21A7" w14:textId="77777777" w:rsidR="008F6275" w:rsidRDefault="00000000">
            <w:pPr>
              <w:jc w:val="center"/>
            </w:pPr>
            <w:r>
              <w:rPr>
                <w:rFonts w:ascii="Arial" w:eastAsia="黑体" w:hAnsi="Arial"/>
                <w:sz w:val="21"/>
              </w:rPr>
              <w:t>险种类别</w:t>
            </w:r>
          </w:p>
        </w:tc>
        <w:tc>
          <w:tcPr>
            <w:tcW w:w="2160" w:type="dxa"/>
          </w:tcPr>
          <w:p w14:paraId="2300E8AC" w14:textId="77777777" w:rsidR="008F62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黑体" w:hAnsi="Arial"/>
                <w:sz w:val="21"/>
              </w:rPr>
              <w:t>赔付支出</w:t>
            </w:r>
            <w:r>
              <w:rPr>
                <w:rFonts w:ascii="Arial" w:eastAsia="黑体" w:hAnsi="Arial"/>
                <w:sz w:val="21"/>
              </w:rPr>
              <w:t>(</w:t>
            </w:r>
            <w:r>
              <w:rPr>
                <w:rFonts w:ascii="Arial" w:eastAsia="黑体" w:hAnsi="Arial"/>
                <w:sz w:val="21"/>
              </w:rPr>
              <w:t>亿元</w:t>
            </w:r>
            <w:r>
              <w:rPr>
                <w:rFonts w:ascii="Arial" w:eastAsia="黑体" w:hAnsi="Arial"/>
                <w:sz w:val="21"/>
              </w:rPr>
              <w:t>)</w:t>
            </w:r>
          </w:p>
        </w:tc>
        <w:tc>
          <w:tcPr>
            <w:tcW w:w="2160" w:type="dxa"/>
          </w:tcPr>
          <w:p w14:paraId="74EAE2A0" w14:textId="77777777" w:rsidR="008F62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黑体" w:hAnsi="Arial"/>
                <w:sz w:val="21"/>
              </w:rPr>
              <w:t>同比增长</w:t>
            </w:r>
          </w:p>
        </w:tc>
        <w:tc>
          <w:tcPr>
            <w:tcW w:w="2160" w:type="dxa"/>
          </w:tcPr>
          <w:p w14:paraId="720513A6" w14:textId="77777777" w:rsidR="008F627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黑体" w:hAnsi="Arial"/>
                <w:sz w:val="21"/>
              </w:rPr>
              <w:t>赔付率</w:t>
            </w:r>
          </w:p>
        </w:tc>
      </w:tr>
      <w:tr w:rsidR="008F6275" w14:paraId="322FC01D" w14:textId="77777777" w:rsidTr="008F6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B8DA2" w14:textId="77777777" w:rsidR="008F6275" w:rsidRDefault="00000000">
            <w:pPr>
              <w:jc w:val="center"/>
            </w:pPr>
            <w:r>
              <w:rPr>
                <w:b w:val="0"/>
                <w:sz w:val="21"/>
              </w:rPr>
              <w:t>寿险</w:t>
            </w:r>
          </w:p>
        </w:tc>
        <w:tc>
          <w:tcPr>
            <w:tcW w:w="2160" w:type="dxa"/>
          </w:tcPr>
          <w:p w14:paraId="78452311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3,200</w:t>
            </w:r>
          </w:p>
        </w:tc>
        <w:tc>
          <w:tcPr>
            <w:tcW w:w="2160" w:type="dxa"/>
          </w:tcPr>
          <w:p w14:paraId="0F5F2B41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6.5%</w:t>
            </w:r>
          </w:p>
        </w:tc>
        <w:tc>
          <w:tcPr>
            <w:tcW w:w="2160" w:type="dxa"/>
          </w:tcPr>
          <w:p w14:paraId="510B1BA1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28.5%</w:t>
            </w:r>
          </w:p>
        </w:tc>
      </w:tr>
      <w:tr w:rsidR="008F6275" w14:paraId="29F5B636" w14:textId="77777777" w:rsidTr="008F62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E9DD18" w14:textId="77777777" w:rsidR="008F6275" w:rsidRDefault="00000000">
            <w:pPr>
              <w:jc w:val="center"/>
            </w:pPr>
            <w:r>
              <w:rPr>
                <w:b w:val="0"/>
                <w:sz w:val="21"/>
              </w:rPr>
              <w:lastRenderedPageBreak/>
              <w:t>健康险</w:t>
            </w:r>
          </w:p>
        </w:tc>
        <w:tc>
          <w:tcPr>
            <w:tcW w:w="2160" w:type="dxa"/>
          </w:tcPr>
          <w:p w14:paraId="62D3C346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2,150</w:t>
            </w:r>
          </w:p>
        </w:tc>
        <w:tc>
          <w:tcPr>
            <w:tcW w:w="2160" w:type="dxa"/>
          </w:tcPr>
          <w:p w14:paraId="70F74173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12.8%</w:t>
            </w:r>
          </w:p>
        </w:tc>
        <w:tc>
          <w:tcPr>
            <w:tcW w:w="2160" w:type="dxa"/>
          </w:tcPr>
          <w:p w14:paraId="5896BDA1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38.2%</w:t>
            </w:r>
          </w:p>
        </w:tc>
      </w:tr>
      <w:tr w:rsidR="008F6275" w14:paraId="3577B632" w14:textId="77777777" w:rsidTr="008F6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5BFE99" w14:textId="77777777" w:rsidR="008F6275" w:rsidRDefault="00000000">
            <w:pPr>
              <w:jc w:val="center"/>
            </w:pPr>
            <w:r>
              <w:rPr>
                <w:b w:val="0"/>
                <w:sz w:val="21"/>
              </w:rPr>
              <w:t>意外险</w:t>
            </w:r>
          </w:p>
        </w:tc>
        <w:tc>
          <w:tcPr>
            <w:tcW w:w="2160" w:type="dxa"/>
          </w:tcPr>
          <w:p w14:paraId="2E430A47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180</w:t>
            </w:r>
          </w:p>
        </w:tc>
        <w:tc>
          <w:tcPr>
            <w:tcW w:w="2160" w:type="dxa"/>
          </w:tcPr>
          <w:p w14:paraId="5CEDFF56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3.2%</w:t>
            </w:r>
          </w:p>
        </w:tc>
        <w:tc>
          <w:tcPr>
            <w:tcW w:w="2160" w:type="dxa"/>
          </w:tcPr>
          <w:p w14:paraId="31697344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22.1%</w:t>
            </w:r>
          </w:p>
        </w:tc>
      </w:tr>
      <w:tr w:rsidR="008F6275" w14:paraId="58D7A1D7" w14:textId="77777777" w:rsidTr="008F62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95625F" w14:textId="77777777" w:rsidR="008F6275" w:rsidRDefault="00000000">
            <w:pPr>
              <w:jc w:val="center"/>
            </w:pPr>
            <w:r>
              <w:rPr>
                <w:b w:val="0"/>
                <w:sz w:val="21"/>
              </w:rPr>
              <w:t>车险</w:t>
            </w:r>
          </w:p>
        </w:tc>
        <w:tc>
          <w:tcPr>
            <w:tcW w:w="2160" w:type="dxa"/>
          </w:tcPr>
          <w:p w14:paraId="19EBB7EC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1,050</w:t>
            </w:r>
          </w:p>
        </w:tc>
        <w:tc>
          <w:tcPr>
            <w:tcW w:w="2160" w:type="dxa"/>
          </w:tcPr>
          <w:p w14:paraId="02FB914F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5.1%</w:t>
            </w:r>
          </w:p>
        </w:tc>
        <w:tc>
          <w:tcPr>
            <w:tcW w:w="2160" w:type="dxa"/>
          </w:tcPr>
          <w:p w14:paraId="08023C80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61.3%</w:t>
            </w:r>
          </w:p>
        </w:tc>
      </w:tr>
      <w:tr w:rsidR="008F6275" w14:paraId="0AD2D3E5" w14:textId="77777777" w:rsidTr="008F6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688D6F" w14:textId="77777777" w:rsidR="008F6275" w:rsidRDefault="00000000">
            <w:pPr>
              <w:jc w:val="center"/>
            </w:pPr>
            <w:r>
              <w:rPr>
                <w:b w:val="0"/>
                <w:sz w:val="21"/>
              </w:rPr>
              <w:t>企财险</w:t>
            </w:r>
          </w:p>
        </w:tc>
        <w:tc>
          <w:tcPr>
            <w:tcW w:w="2160" w:type="dxa"/>
          </w:tcPr>
          <w:p w14:paraId="3D06D229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120</w:t>
            </w:r>
          </w:p>
        </w:tc>
        <w:tc>
          <w:tcPr>
            <w:tcW w:w="2160" w:type="dxa"/>
          </w:tcPr>
          <w:p w14:paraId="49B94BE1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-2.3%</w:t>
            </w:r>
          </w:p>
        </w:tc>
        <w:tc>
          <w:tcPr>
            <w:tcW w:w="2160" w:type="dxa"/>
          </w:tcPr>
          <w:p w14:paraId="64A0E089" w14:textId="77777777" w:rsidR="008F62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35.6%</w:t>
            </w:r>
          </w:p>
        </w:tc>
      </w:tr>
      <w:tr w:rsidR="008F6275" w14:paraId="5E278799" w14:textId="77777777" w:rsidTr="008F62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17AFCA" w14:textId="77777777" w:rsidR="008F6275" w:rsidRDefault="00000000">
            <w:pPr>
              <w:jc w:val="center"/>
            </w:pPr>
            <w:r>
              <w:rPr>
                <w:b w:val="0"/>
                <w:sz w:val="21"/>
              </w:rPr>
              <w:t>农险</w:t>
            </w:r>
          </w:p>
        </w:tc>
        <w:tc>
          <w:tcPr>
            <w:tcW w:w="2160" w:type="dxa"/>
          </w:tcPr>
          <w:p w14:paraId="08BFA9AF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150</w:t>
            </w:r>
          </w:p>
        </w:tc>
        <w:tc>
          <w:tcPr>
            <w:tcW w:w="2160" w:type="dxa"/>
          </w:tcPr>
          <w:p w14:paraId="3BDD551F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9.5%</w:t>
            </w:r>
          </w:p>
        </w:tc>
        <w:tc>
          <w:tcPr>
            <w:tcW w:w="2160" w:type="dxa"/>
          </w:tcPr>
          <w:p w14:paraId="35176918" w14:textId="77777777" w:rsidR="008F627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42.8%</w:t>
            </w:r>
          </w:p>
        </w:tc>
      </w:tr>
    </w:tbl>
    <w:p w14:paraId="2D89D62B" w14:textId="77777777" w:rsidR="008F6275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健康险赔付增速显著高于其他险种，反映出健康险业务规模扩大的同时理赔压力也在增加。车险赔付率维持在</w:t>
      </w:r>
      <w:r>
        <w:rPr>
          <w:lang w:eastAsia="zh-CN"/>
        </w:rPr>
        <w:t>61.3%</w:t>
      </w:r>
      <w:r>
        <w:rPr>
          <w:lang w:eastAsia="zh-CN"/>
        </w:rPr>
        <w:t>的较高水平，与车险综改深化期定价系数扩大有关。</w:t>
      </w:r>
    </w:p>
    <w:p w14:paraId="21880167" w14:textId="77777777" w:rsidR="00C60D10" w:rsidRDefault="00C60D10">
      <w:pPr>
        <w:spacing w:before="160" w:after="120"/>
        <w:rPr>
          <w:color w:val="AAAAAA"/>
          <w:sz w:val="18"/>
          <w:lang w:eastAsia="zh-CN"/>
        </w:rPr>
      </w:pPr>
    </w:p>
    <w:p w14:paraId="7BB92E33" w14:textId="305E0239" w:rsidR="008F6275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4.1  </w:t>
      </w:r>
      <w:r>
        <w:rPr>
          <w:rFonts w:ascii="Arial" w:eastAsia="黑体" w:hAnsi="Arial"/>
          <w:b/>
          <w:color w:val="2E5C8A"/>
          <w:sz w:val="28"/>
          <w:lang w:eastAsia="zh-CN"/>
        </w:rPr>
        <w:t>传统保险产品创新</w:t>
      </w:r>
    </w:p>
    <w:p w14:paraId="0A2E61DA" w14:textId="77777777" w:rsidR="008F6275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传统保险产品在本季度呈现出</w:t>
      </w:r>
      <w:r>
        <w:rPr>
          <w:lang w:eastAsia="zh-CN"/>
        </w:rPr>
        <w:t>"</w:t>
      </w:r>
      <w:r>
        <w:rPr>
          <w:lang w:eastAsia="zh-CN"/>
        </w:rPr>
        <w:t>保障</w:t>
      </w:r>
      <w:r>
        <w:rPr>
          <w:lang w:eastAsia="zh-CN"/>
        </w:rPr>
        <w:t>+</w:t>
      </w:r>
      <w:r>
        <w:rPr>
          <w:lang w:eastAsia="zh-CN"/>
        </w:rPr>
        <w:t>服务</w:t>
      </w:r>
      <w:r>
        <w:rPr>
          <w:lang w:eastAsia="zh-CN"/>
        </w:rPr>
        <w:t>"</w:t>
      </w:r>
      <w:r>
        <w:rPr>
          <w:lang w:eastAsia="zh-CN"/>
        </w:rPr>
        <w:t>融合创新的趋势，产品形态从单一的财务补偿向综合服务方案演进。</w:t>
      </w:r>
    </w:p>
    <w:p w14:paraId="306C9D78" w14:textId="77777777" w:rsidR="008F6275" w:rsidRDefault="00000000">
      <w:pPr>
        <w:spacing w:before="120" w:after="40"/>
      </w:pPr>
      <w:r>
        <w:rPr>
          <w:b/>
        </w:rPr>
        <w:t>寿险产品创新</w:t>
      </w:r>
    </w:p>
    <w:p w14:paraId="51E1E40D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重疾险产品引入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分级赔付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机制，轻症、中症、重症差异化给付</w:t>
      </w:r>
    </w:p>
    <w:p w14:paraId="61F6B04B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定期寿险产品结合健康管理服务，提供差异化费率优惠</w:t>
      </w:r>
    </w:p>
    <w:p w14:paraId="4FD62AD3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年金险产品增加万能账户灵活配置功能</w:t>
      </w:r>
    </w:p>
    <w:p w14:paraId="6635CAF9" w14:textId="77777777" w:rsidR="008F6275" w:rsidRDefault="00000000">
      <w:pPr>
        <w:spacing w:before="120" w:after="40"/>
      </w:pPr>
      <w:r>
        <w:rPr>
          <w:b/>
        </w:rPr>
        <w:t>健康险产品趋势</w:t>
      </w:r>
    </w:p>
    <w:p w14:paraId="38B8A8FF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百万医疗险迭代升级，增加特定药品和前沿疗法保障</w:t>
      </w:r>
    </w:p>
    <w:p w14:paraId="1F37FFC0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长期护理险试点扩面，产品形态从定额给付向服务给付延伸</w:t>
      </w:r>
    </w:p>
    <w:p w14:paraId="425B3CAB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城市定制惠民保产品进入精细化运营阶段</w:t>
      </w:r>
    </w:p>
    <w:p w14:paraId="413356BF" w14:textId="77777777" w:rsidR="008F6275" w:rsidRDefault="00000000">
      <w:pPr>
        <w:spacing w:before="120" w:after="40"/>
      </w:pPr>
      <w:r>
        <w:rPr>
          <w:b/>
        </w:rPr>
        <w:t>产品创新亮点</w:t>
      </w:r>
    </w:p>
    <w:p w14:paraId="6993A311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"</w:t>
      </w:r>
      <w:r>
        <w:rPr>
          <w:sz w:val="21"/>
          <w:lang w:eastAsia="zh-CN"/>
        </w:rPr>
        <w:t>保险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健康管理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模式深化，超过</w:t>
      </w:r>
      <w:r>
        <w:rPr>
          <w:sz w:val="21"/>
          <w:lang w:eastAsia="zh-CN"/>
        </w:rPr>
        <w:t>60%</w:t>
      </w:r>
      <w:r>
        <w:rPr>
          <w:sz w:val="21"/>
          <w:lang w:eastAsia="zh-CN"/>
        </w:rPr>
        <w:t>的新单健康险附带健康管理服务</w:t>
      </w:r>
    </w:p>
    <w:p w14:paraId="5FE3C087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分红型产品吸引力提升，多家公司推出分红型增额终身寿险</w:t>
      </w:r>
    </w:p>
    <w:p w14:paraId="3F5DF6D3" w14:textId="77777777" w:rsidR="008F6275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产品定价更加精细化，基于大数据的精准定价能力成为核心竞争力</w:t>
      </w:r>
    </w:p>
    <w:sectPr w:rsidR="008F6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7667" w14:textId="77777777" w:rsidR="003461FC" w:rsidRDefault="003461FC" w:rsidP="00C60D10">
      <w:pPr>
        <w:spacing w:after="0" w:line="240" w:lineRule="auto"/>
      </w:pPr>
      <w:r>
        <w:separator/>
      </w:r>
    </w:p>
  </w:endnote>
  <w:endnote w:type="continuationSeparator" w:id="0">
    <w:p w14:paraId="69DB1163" w14:textId="77777777" w:rsidR="003461FC" w:rsidRDefault="003461FC" w:rsidP="00C60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768A" w14:textId="77777777" w:rsidR="003461FC" w:rsidRDefault="003461FC" w:rsidP="00C60D10">
      <w:pPr>
        <w:spacing w:after="0" w:line="240" w:lineRule="auto"/>
      </w:pPr>
      <w:r>
        <w:separator/>
      </w:r>
    </w:p>
  </w:footnote>
  <w:footnote w:type="continuationSeparator" w:id="0">
    <w:p w14:paraId="67A3AFE5" w14:textId="77777777" w:rsidR="003461FC" w:rsidRDefault="003461FC" w:rsidP="00C60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034983">
    <w:abstractNumId w:val="8"/>
  </w:num>
  <w:num w:numId="2" w16cid:durableId="305549239">
    <w:abstractNumId w:val="6"/>
  </w:num>
  <w:num w:numId="3" w16cid:durableId="1020737310">
    <w:abstractNumId w:val="5"/>
  </w:num>
  <w:num w:numId="4" w16cid:durableId="43801699">
    <w:abstractNumId w:val="4"/>
  </w:num>
  <w:num w:numId="5" w16cid:durableId="184373393">
    <w:abstractNumId w:val="7"/>
  </w:num>
  <w:num w:numId="6" w16cid:durableId="424227721">
    <w:abstractNumId w:val="3"/>
  </w:num>
  <w:num w:numId="7" w16cid:durableId="784352419">
    <w:abstractNumId w:val="2"/>
  </w:num>
  <w:num w:numId="8" w16cid:durableId="172186334">
    <w:abstractNumId w:val="1"/>
  </w:num>
  <w:num w:numId="9" w16cid:durableId="168986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1FC"/>
    <w:rsid w:val="008B62BA"/>
    <w:rsid w:val="008F6275"/>
    <w:rsid w:val="00AA1D8D"/>
    <w:rsid w:val="00B47730"/>
    <w:rsid w:val="00C60D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8226E1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Liping Zhang</cp:lastModifiedBy>
  <cp:revision>2</cp:revision>
  <dcterms:created xsi:type="dcterms:W3CDTF">2013-12-23T23:15:00Z</dcterms:created>
  <dcterms:modified xsi:type="dcterms:W3CDTF">2026-07-20T03:35:00Z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2026-07-20T03:35:34Z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fb15b689-248a-4211-9a03-cf624da4b237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</Properties>
</file>