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B5A9" w14:textId="77777777" w:rsidR="00960252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6.2  </w:t>
      </w:r>
      <w:r>
        <w:rPr>
          <w:rFonts w:ascii="Arial" w:eastAsia="黑体" w:hAnsi="Arial"/>
          <w:b/>
          <w:color w:val="2E5C8A"/>
          <w:sz w:val="28"/>
          <w:lang w:eastAsia="zh-CN"/>
        </w:rPr>
        <w:t>理赔服务效率</w:t>
      </w:r>
    </w:p>
    <w:p w14:paraId="3D9F0EE7" w14:textId="77777777" w:rsidR="00960252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理赔服务质量和效率持续提升，客户体验改善明显。科技赋能推动理赔流程智能化升级。</w:t>
      </w:r>
    </w:p>
    <w:p w14:paraId="1A0B8D16" w14:textId="77777777" w:rsidR="00960252" w:rsidRDefault="00000000">
      <w:pPr>
        <w:spacing w:before="120" w:after="40"/>
      </w:pPr>
      <w:r>
        <w:rPr>
          <w:b/>
        </w:rPr>
        <w:t>理赔效率指标</w:t>
      </w:r>
    </w:p>
    <w:p w14:paraId="48303E50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案均理赔周期缩短至</w:t>
      </w:r>
      <w:r>
        <w:rPr>
          <w:sz w:val="21"/>
          <w:lang w:eastAsia="zh-CN"/>
        </w:rPr>
        <w:t>2.8</w:t>
      </w:r>
      <w:r>
        <w:rPr>
          <w:sz w:val="21"/>
          <w:lang w:eastAsia="zh-CN"/>
        </w:rPr>
        <w:t>天，同比缩短</w:t>
      </w:r>
      <w:r>
        <w:rPr>
          <w:sz w:val="21"/>
          <w:lang w:eastAsia="zh-CN"/>
        </w:rPr>
        <w:t>0.5</w:t>
      </w:r>
      <w:r>
        <w:rPr>
          <w:sz w:val="21"/>
          <w:lang w:eastAsia="zh-CN"/>
        </w:rPr>
        <w:t>天</w:t>
      </w:r>
    </w:p>
    <w:p w14:paraId="7DD35B2D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小额案件秒赔覆盖率提升至</w:t>
      </w:r>
      <w:r>
        <w:rPr>
          <w:sz w:val="21"/>
          <w:lang w:eastAsia="zh-CN"/>
        </w:rPr>
        <w:t>35%</w:t>
      </w:r>
    </w:p>
    <w:p w14:paraId="305DBE91" w14:textId="77777777" w:rsidR="00960252" w:rsidRDefault="00000000">
      <w:pPr>
        <w:pStyle w:val="a0"/>
        <w:spacing w:after="20"/>
      </w:pPr>
      <w:r>
        <w:rPr>
          <w:sz w:val="21"/>
        </w:rPr>
        <w:t>理赔线上化率达到</w:t>
      </w:r>
      <w:r>
        <w:rPr>
          <w:sz w:val="21"/>
        </w:rPr>
        <w:t>78%</w:t>
      </w:r>
    </w:p>
    <w:p w14:paraId="176485D6" w14:textId="77777777" w:rsidR="00960252" w:rsidRDefault="00000000">
      <w:pPr>
        <w:jc w:val="center"/>
      </w:pPr>
      <w:r>
        <w:rPr>
          <w:noProof/>
        </w:rPr>
        <w:drawing>
          <wp:inline distT="0" distB="0" distL="0" distR="0" wp14:anchorId="5983FF78" wp14:editId="37EC77FC">
            <wp:extent cx="4754880" cy="3376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理赔时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2F53" w14:textId="77777777" w:rsidR="00960252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9"/>
          <w:lang w:eastAsia="zh-CN"/>
        </w:rPr>
        <w:t>图</w:t>
      </w:r>
      <w:r>
        <w:rPr>
          <w:i/>
          <w:color w:val="666666"/>
          <w:sz w:val="19"/>
          <w:lang w:eastAsia="zh-CN"/>
        </w:rPr>
        <w:t>4</w:t>
      </w:r>
      <w:r>
        <w:rPr>
          <w:i/>
          <w:color w:val="666666"/>
          <w:sz w:val="19"/>
          <w:lang w:eastAsia="zh-CN"/>
        </w:rPr>
        <w:t>：</w:t>
      </w:r>
      <w:r>
        <w:rPr>
          <w:i/>
          <w:color w:val="666666"/>
          <w:sz w:val="19"/>
          <w:lang w:eastAsia="zh-CN"/>
        </w:rPr>
        <w:t>2024-2026</w:t>
      </w:r>
      <w:r>
        <w:rPr>
          <w:i/>
          <w:color w:val="666666"/>
          <w:sz w:val="19"/>
          <w:lang w:eastAsia="zh-CN"/>
        </w:rPr>
        <w:t>年理赔时效对比</w:t>
      </w:r>
    </w:p>
    <w:p w14:paraId="727728B0" w14:textId="77777777" w:rsidR="00960252" w:rsidRDefault="00000000">
      <w:pPr>
        <w:spacing w:before="120" w:after="40"/>
        <w:rPr>
          <w:lang w:eastAsia="zh-CN"/>
        </w:rPr>
      </w:pPr>
      <w:r>
        <w:rPr>
          <w:b/>
          <w:lang w:eastAsia="zh-CN"/>
        </w:rPr>
        <w:t>服务创新</w:t>
      </w:r>
    </w:p>
    <w:p w14:paraId="6060E837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"</w:t>
      </w:r>
      <w:r>
        <w:rPr>
          <w:sz w:val="21"/>
          <w:lang w:eastAsia="zh-CN"/>
        </w:rPr>
        <w:t>闪赔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服务覆盖范围扩大，</w:t>
      </w:r>
      <w:r>
        <w:rPr>
          <w:sz w:val="21"/>
          <w:lang w:eastAsia="zh-CN"/>
        </w:rPr>
        <w:t>5,000</w:t>
      </w:r>
      <w:r>
        <w:rPr>
          <w:sz w:val="21"/>
          <w:lang w:eastAsia="zh-CN"/>
        </w:rPr>
        <w:t>元以下案件实现</w:t>
      </w:r>
      <w:r>
        <w:rPr>
          <w:sz w:val="21"/>
          <w:lang w:eastAsia="zh-CN"/>
        </w:rPr>
        <w:t>1</w:t>
      </w:r>
      <w:r>
        <w:rPr>
          <w:sz w:val="21"/>
          <w:lang w:eastAsia="zh-CN"/>
        </w:rPr>
        <w:t>小时内赔付</w:t>
      </w:r>
    </w:p>
    <w:p w14:paraId="00B95EA0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医疗险理赔与医院直连直付试点扩大至</w:t>
      </w:r>
      <w:r>
        <w:rPr>
          <w:sz w:val="21"/>
          <w:lang w:eastAsia="zh-CN"/>
        </w:rPr>
        <w:t>200</w:t>
      </w:r>
      <w:r>
        <w:rPr>
          <w:sz w:val="21"/>
          <w:lang w:eastAsia="zh-CN"/>
        </w:rPr>
        <w:t>家医院</w:t>
      </w:r>
    </w:p>
    <w:p w14:paraId="626FCF07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理赔智能审核系统准确率达到</w:t>
      </w:r>
      <w:r>
        <w:rPr>
          <w:sz w:val="21"/>
          <w:lang w:eastAsia="zh-CN"/>
        </w:rPr>
        <w:t>92%</w:t>
      </w:r>
    </w:p>
    <w:p w14:paraId="76663481" w14:textId="77777777" w:rsidR="00960252" w:rsidRDefault="00000000">
      <w:pPr>
        <w:spacing w:before="120" w:after="40"/>
      </w:pPr>
      <w:r>
        <w:rPr>
          <w:b/>
        </w:rPr>
        <w:t>客户满意度</w:t>
      </w:r>
    </w:p>
    <w:p w14:paraId="49F932EC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理赔客户满意度评分为</w:t>
      </w:r>
      <w:r>
        <w:rPr>
          <w:sz w:val="21"/>
          <w:lang w:eastAsia="zh-CN"/>
        </w:rPr>
        <w:t>86.5</w:t>
      </w:r>
      <w:r>
        <w:rPr>
          <w:sz w:val="21"/>
          <w:lang w:eastAsia="zh-CN"/>
        </w:rPr>
        <w:t>分（满分</w:t>
      </w:r>
      <w:r>
        <w:rPr>
          <w:sz w:val="21"/>
          <w:lang w:eastAsia="zh-CN"/>
        </w:rPr>
        <w:t>100</w:t>
      </w:r>
      <w:r>
        <w:rPr>
          <w:sz w:val="21"/>
          <w:lang w:eastAsia="zh-CN"/>
        </w:rPr>
        <w:t>），同比提升</w:t>
      </w:r>
      <w:r>
        <w:rPr>
          <w:sz w:val="21"/>
          <w:lang w:eastAsia="zh-CN"/>
        </w:rPr>
        <w:t>2.3</w:t>
      </w:r>
      <w:r>
        <w:rPr>
          <w:sz w:val="21"/>
          <w:lang w:eastAsia="zh-CN"/>
        </w:rPr>
        <w:t>分</w:t>
      </w:r>
    </w:p>
    <w:p w14:paraId="78235D86" w14:textId="77777777" w:rsidR="00960252" w:rsidRDefault="00000000">
      <w:pPr>
        <w:pStyle w:val="a0"/>
        <w:spacing w:after="20"/>
      </w:pPr>
      <w:r>
        <w:rPr>
          <w:sz w:val="21"/>
        </w:rPr>
        <w:t>投诉率下降至万分之</w:t>
      </w:r>
      <w:r>
        <w:rPr>
          <w:sz w:val="21"/>
        </w:rPr>
        <w:t>3.2</w:t>
      </w:r>
    </w:p>
    <w:p w14:paraId="7FC7DD0E" w14:textId="77777777" w:rsidR="00960252" w:rsidRDefault="00000000">
      <w:pPr>
        <w:pStyle w:val="a0"/>
        <w:spacing w:after="20"/>
      </w:pPr>
      <w:r>
        <w:rPr>
          <w:sz w:val="21"/>
        </w:rPr>
        <w:t>重复购买率提升至</w:t>
      </w:r>
      <w:r>
        <w:rPr>
          <w:sz w:val="21"/>
        </w:rPr>
        <w:t>41%</w:t>
      </w:r>
    </w:p>
    <w:p w14:paraId="2505721E" w14:textId="77777777" w:rsidR="00FB6A4F" w:rsidRDefault="00FB6A4F">
      <w:pPr>
        <w:spacing w:before="240" w:after="120"/>
        <w:rPr>
          <w:color w:val="AAAAAA"/>
          <w:sz w:val="18"/>
        </w:rPr>
      </w:pPr>
    </w:p>
    <w:p w14:paraId="5F638B30" w14:textId="77777777" w:rsidR="00960252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3.3  </w:t>
      </w:r>
      <w:r>
        <w:rPr>
          <w:rFonts w:ascii="Arial" w:eastAsia="黑体" w:hAnsi="Arial"/>
          <w:b/>
          <w:color w:val="2E5C8A"/>
          <w:sz w:val="28"/>
          <w:lang w:eastAsia="zh-CN"/>
        </w:rPr>
        <w:t>中小险企市场份额</w:t>
      </w:r>
    </w:p>
    <w:p w14:paraId="08DF8735" w14:textId="77777777" w:rsidR="00960252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lastRenderedPageBreak/>
        <w:t>行业集中度方面，头部险企市场份额略有下降，中小险企在细分领域找到了差异化发展路径。</w:t>
      </w:r>
    </w:p>
    <w:p w14:paraId="0252BCC5" w14:textId="77777777" w:rsidR="00960252" w:rsidRDefault="00000000">
      <w:pPr>
        <w:spacing w:before="120" w:after="40"/>
      </w:pPr>
      <w:r>
        <w:rPr>
          <w:b/>
        </w:rPr>
        <w:t>市场份额变化</w:t>
      </w:r>
    </w:p>
    <w:p w14:paraId="3B20941A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CR5</w:t>
      </w:r>
      <w:r>
        <w:rPr>
          <w:sz w:val="21"/>
          <w:lang w:eastAsia="zh-CN"/>
        </w:rPr>
        <w:t>（前五大险企）市场份额为</w:t>
      </w:r>
      <w:r>
        <w:rPr>
          <w:sz w:val="21"/>
          <w:lang w:eastAsia="zh-CN"/>
        </w:rPr>
        <w:t>52.3%</w:t>
      </w:r>
      <w:r>
        <w:rPr>
          <w:sz w:val="21"/>
          <w:lang w:eastAsia="zh-CN"/>
        </w:rPr>
        <w:t>，较去年同期下降</w:t>
      </w:r>
      <w:r>
        <w:rPr>
          <w:sz w:val="21"/>
          <w:lang w:eastAsia="zh-CN"/>
        </w:rPr>
        <w:t>0.8</w:t>
      </w:r>
      <w:r>
        <w:rPr>
          <w:sz w:val="21"/>
          <w:lang w:eastAsia="zh-CN"/>
        </w:rPr>
        <w:t>个百分点</w:t>
      </w:r>
    </w:p>
    <w:p w14:paraId="6BDE8EAC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CR10</w:t>
      </w:r>
      <w:r>
        <w:rPr>
          <w:sz w:val="21"/>
          <w:lang w:eastAsia="zh-CN"/>
        </w:rPr>
        <w:t>市场份额为</w:t>
      </w:r>
      <w:r>
        <w:rPr>
          <w:sz w:val="21"/>
          <w:lang w:eastAsia="zh-CN"/>
        </w:rPr>
        <w:t>68.7%</w:t>
      </w:r>
      <w:r>
        <w:rPr>
          <w:sz w:val="21"/>
          <w:lang w:eastAsia="zh-CN"/>
        </w:rPr>
        <w:t>，与去年同期基本持平</w:t>
      </w:r>
    </w:p>
    <w:p w14:paraId="54145C89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中小险企在健康险、农险、责任险等细分领域的份额有所提升</w:t>
      </w:r>
    </w:p>
    <w:p w14:paraId="2C2EDDF2" w14:textId="77777777" w:rsidR="00960252" w:rsidRDefault="00000000">
      <w:pPr>
        <w:spacing w:before="120" w:after="40"/>
      </w:pPr>
      <w:r>
        <w:rPr>
          <w:b/>
        </w:rPr>
        <w:t>中小险企发展特点</w:t>
      </w:r>
    </w:p>
    <w:p w14:paraId="1D054F27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聚焦区域市场，深耕特定客群</w:t>
      </w:r>
    </w:p>
    <w:p w14:paraId="6FBA5485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借助科技赋能，提升运营效率</w:t>
      </w:r>
    </w:p>
    <w:p w14:paraId="5A496BD9" w14:textId="77777777" w:rsidR="00960252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加强与平台合作，拓展获客渠道</w:t>
      </w:r>
    </w:p>
    <w:p w14:paraId="26E86A7E" w14:textId="77777777" w:rsidR="00FB6A4F" w:rsidRDefault="00FB6A4F">
      <w:pPr>
        <w:spacing w:before="160" w:after="120"/>
        <w:rPr>
          <w:color w:val="AAAAAA"/>
          <w:sz w:val="18"/>
          <w:lang w:eastAsia="zh-CN"/>
        </w:rPr>
      </w:pPr>
    </w:p>
    <w:p w14:paraId="26D197C6" w14:textId="5CF7BBB1" w:rsidR="00960252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2.3  </w:t>
      </w:r>
      <w:r>
        <w:rPr>
          <w:rFonts w:ascii="Arial" w:eastAsia="黑体" w:hAnsi="Arial"/>
          <w:b/>
          <w:color w:val="2E5C8A"/>
          <w:sz w:val="28"/>
          <w:lang w:eastAsia="zh-CN"/>
        </w:rPr>
        <w:t>区域市场发展</w:t>
      </w:r>
    </w:p>
    <w:p w14:paraId="51B851EF" w14:textId="77777777" w:rsidR="00960252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区域市场发展的不平衡是中国保险行业的一个显著特征。本季度数据显示，各区域保费增长呈现分化态势，中西部地区增速领先。</w:t>
      </w:r>
    </w:p>
    <w:p w14:paraId="25A778C6" w14:textId="77777777" w:rsidR="00FB6A4F" w:rsidRDefault="00FB6A4F">
      <w:pPr>
        <w:spacing w:before="160" w:after="120"/>
        <w:rPr>
          <w:color w:val="AAAAAA"/>
          <w:sz w:val="18"/>
          <w:lang w:eastAsia="zh-CN"/>
        </w:rPr>
      </w:pPr>
    </w:p>
    <w:p w14:paraId="608F1232" w14:textId="35054150" w:rsidR="00960252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5.2  </w:t>
      </w:r>
      <w:r>
        <w:rPr>
          <w:rFonts w:ascii="Arial" w:eastAsia="黑体" w:hAnsi="Arial"/>
          <w:b/>
          <w:color w:val="2E5C8A"/>
          <w:sz w:val="28"/>
          <w:lang w:eastAsia="zh-CN"/>
        </w:rPr>
        <w:t>线上渠道</w:t>
      </w:r>
    </w:p>
    <w:p w14:paraId="6BB9FF4C" w14:textId="77777777" w:rsidR="00960252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线上渠道保持高速增长，数字化转型进入深水区。二季度线上渠道保费占比首次突破</w:t>
      </w:r>
      <w:r>
        <w:rPr>
          <w:lang w:eastAsia="zh-CN"/>
        </w:rPr>
        <w:t>20%</w:t>
      </w:r>
      <w:r>
        <w:rPr>
          <w:lang w:eastAsia="zh-CN"/>
        </w:rPr>
        <w:t>，成为行业增长的重要引擎。</w:t>
      </w:r>
    </w:p>
    <w:sectPr w:rsidR="009602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BAF85" w14:textId="77777777" w:rsidR="00713D7C" w:rsidRDefault="00713D7C" w:rsidP="00FB6A4F">
      <w:pPr>
        <w:spacing w:after="0" w:line="240" w:lineRule="auto"/>
      </w:pPr>
      <w:r>
        <w:separator/>
      </w:r>
    </w:p>
  </w:endnote>
  <w:endnote w:type="continuationSeparator" w:id="0">
    <w:p w14:paraId="35F40159" w14:textId="77777777" w:rsidR="00713D7C" w:rsidRDefault="00713D7C" w:rsidP="00FB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E79FD" w14:textId="77777777" w:rsidR="00713D7C" w:rsidRDefault="00713D7C" w:rsidP="00FB6A4F">
      <w:pPr>
        <w:spacing w:after="0" w:line="240" w:lineRule="auto"/>
      </w:pPr>
      <w:r>
        <w:separator/>
      </w:r>
    </w:p>
  </w:footnote>
  <w:footnote w:type="continuationSeparator" w:id="0">
    <w:p w14:paraId="02DB9BDC" w14:textId="77777777" w:rsidR="00713D7C" w:rsidRDefault="00713D7C" w:rsidP="00FB6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891402">
    <w:abstractNumId w:val="8"/>
  </w:num>
  <w:num w:numId="2" w16cid:durableId="1491363257">
    <w:abstractNumId w:val="6"/>
  </w:num>
  <w:num w:numId="3" w16cid:durableId="535509978">
    <w:abstractNumId w:val="5"/>
  </w:num>
  <w:num w:numId="4" w16cid:durableId="1978678600">
    <w:abstractNumId w:val="4"/>
  </w:num>
  <w:num w:numId="5" w16cid:durableId="1928732085">
    <w:abstractNumId w:val="7"/>
  </w:num>
  <w:num w:numId="6" w16cid:durableId="784079793">
    <w:abstractNumId w:val="3"/>
  </w:num>
  <w:num w:numId="7" w16cid:durableId="35199403">
    <w:abstractNumId w:val="2"/>
  </w:num>
  <w:num w:numId="8" w16cid:durableId="1275097852">
    <w:abstractNumId w:val="1"/>
  </w:num>
  <w:num w:numId="9" w16cid:durableId="90800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D7C"/>
    <w:rsid w:val="008B62BA"/>
    <w:rsid w:val="00960252"/>
    <w:rsid w:val="00AA1D8D"/>
    <w:rsid w:val="00B47730"/>
    <w:rsid w:val="00CB0664"/>
    <w:rsid w:val="00FB6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01467B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Liping Zhang</cp:lastModifiedBy>
  <cp:revision>2</cp:revision>
  <dcterms:created xsi:type="dcterms:W3CDTF">2013-12-23T23:15:00Z</dcterms:created>
  <dcterms:modified xsi:type="dcterms:W3CDTF">2026-07-20T03:36:00Z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2026-07-20T03:36:01Z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4f188880-acd1-4683-a405-c598ab01afc6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</Properties>
</file>