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CF80" w14:textId="77777777" w:rsidR="0005723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3.2.1  </w:t>
      </w:r>
      <w:r>
        <w:rPr>
          <w:rFonts w:ascii="Arial" w:eastAsia="黑体" w:hAnsi="Arial"/>
          <w:b/>
          <w:color w:val="404040"/>
          <w:sz w:val="25"/>
          <w:lang w:eastAsia="zh-CN"/>
        </w:rPr>
        <w:t>财产险保费分析</w:t>
      </w:r>
    </w:p>
    <w:p w14:paraId="03E845FC" w14:textId="77777777" w:rsidR="0005723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财产险公司二季度实现保费收入</w:t>
      </w:r>
      <w:r>
        <w:rPr>
          <w:lang w:eastAsia="zh-CN"/>
        </w:rPr>
        <w:t>5,100</w:t>
      </w:r>
      <w:r>
        <w:rPr>
          <w:lang w:eastAsia="zh-CN"/>
        </w:rPr>
        <w:t>亿元，同比增长</w:t>
      </w:r>
      <w:r>
        <w:rPr>
          <w:lang w:eastAsia="zh-CN"/>
        </w:rPr>
        <w:t>5.5%</w:t>
      </w:r>
      <w:r>
        <w:rPr>
          <w:lang w:eastAsia="zh-CN"/>
        </w:rPr>
        <w:t>。非车险业务保持较快增长，业务结构持续优化。</w:t>
      </w:r>
    </w:p>
    <w:p w14:paraId="00D177FE" w14:textId="77777777" w:rsidR="0005723E" w:rsidRDefault="00000000">
      <w:pPr>
        <w:spacing w:before="120" w:after="40"/>
      </w:pPr>
      <w:proofErr w:type="spellStart"/>
      <w:r>
        <w:rPr>
          <w:b/>
        </w:rPr>
        <w:t>主要险种表现</w:t>
      </w:r>
      <w:proofErr w:type="spellEnd"/>
    </w:p>
    <w:p w14:paraId="7EF4FB86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车险保费收入</w:t>
      </w:r>
      <w:r>
        <w:rPr>
          <w:sz w:val="21"/>
          <w:lang w:eastAsia="zh-CN"/>
        </w:rPr>
        <w:t>3,100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4.2%</w:t>
      </w:r>
      <w:r>
        <w:rPr>
          <w:sz w:val="21"/>
          <w:lang w:eastAsia="zh-CN"/>
        </w:rPr>
        <w:t>，占比</w:t>
      </w:r>
      <w:r>
        <w:rPr>
          <w:sz w:val="21"/>
          <w:lang w:eastAsia="zh-CN"/>
        </w:rPr>
        <w:t>60.8%</w:t>
      </w:r>
    </w:p>
    <w:p w14:paraId="176242FD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非车险保费收入</w:t>
      </w:r>
      <w:r>
        <w:rPr>
          <w:sz w:val="21"/>
          <w:lang w:eastAsia="zh-CN"/>
        </w:rPr>
        <w:t>2,000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7.6%</w:t>
      </w:r>
      <w:r>
        <w:rPr>
          <w:sz w:val="21"/>
          <w:lang w:eastAsia="zh-CN"/>
        </w:rPr>
        <w:t>，占比</w:t>
      </w:r>
      <w:r>
        <w:rPr>
          <w:sz w:val="21"/>
          <w:lang w:eastAsia="zh-CN"/>
        </w:rPr>
        <w:t>39.2%</w:t>
      </w:r>
    </w:p>
    <w:p w14:paraId="2FB093F1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责任险保费收入</w:t>
      </w:r>
      <w:r>
        <w:rPr>
          <w:sz w:val="21"/>
          <w:lang w:eastAsia="zh-CN"/>
        </w:rPr>
        <w:t>380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12.5%</w:t>
      </w:r>
      <w:r>
        <w:rPr>
          <w:sz w:val="21"/>
          <w:lang w:eastAsia="zh-CN"/>
        </w:rPr>
        <w:t>，增速领跑</w:t>
      </w:r>
    </w:p>
    <w:p w14:paraId="24284896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农险保费收入</w:t>
      </w:r>
      <w:r>
        <w:rPr>
          <w:sz w:val="21"/>
          <w:lang w:eastAsia="zh-CN"/>
        </w:rPr>
        <w:t>420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8.3%</w:t>
      </w:r>
    </w:p>
    <w:p w14:paraId="387579A2" w14:textId="77777777" w:rsidR="0005723E" w:rsidRDefault="00000000">
      <w:pPr>
        <w:jc w:val="center"/>
      </w:pPr>
      <w:r>
        <w:rPr>
          <w:noProof/>
        </w:rPr>
        <w:drawing>
          <wp:inline distT="0" distB="0" distL="0" distR="0" wp14:anchorId="4037F79B" wp14:editId="3E22B91E">
            <wp:extent cx="4754880" cy="3551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财险占比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1F36" w14:textId="77777777" w:rsidR="0005723E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>2</w:t>
      </w:r>
      <w:r>
        <w:rPr>
          <w:i/>
          <w:color w:val="666666"/>
          <w:sz w:val="19"/>
          <w:lang w:eastAsia="zh-CN"/>
        </w:rPr>
        <w:t>：</w:t>
      </w:r>
      <w:r>
        <w:rPr>
          <w:i/>
          <w:color w:val="666666"/>
          <w:sz w:val="19"/>
          <w:lang w:eastAsia="zh-CN"/>
        </w:rPr>
        <w:t>2026</w:t>
      </w:r>
      <w:r>
        <w:rPr>
          <w:i/>
          <w:color w:val="666666"/>
          <w:sz w:val="19"/>
          <w:lang w:eastAsia="zh-CN"/>
        </w:rPr>
        <w:t>年</w:t>
      </w:r>
      <w:r>
        <w:rPr>
          <w:i/>
          <w:color w:val="666666"/>
          <w:sz w:val="19"/>
          <w:lang w:eastAsia="zh-CN"/>
        </w:rPr>
        <w:t>Q2</w:t>
      </w:r>
      <w:r>
        <w:rPr>
          <w:i/>
          <w:color w:val="666666"/>
          <w:sz w:val="19"/>
          <w:lang w:eastAsia="zh-CN"/>
        </w:rPr>
        <w:t>财产险分险种保费占比</w:t>
      </w:r>
    </w:p>
    <w:p w14:paraId="5162088C" w14:textId="77777777" w:rsidR="0005723E" w:rsidRDefault="00000000">
      <w:pPr>
        <w:spacing w:before="120" w:after="40"/>
      </w:pPr>
      <w:proofErr w:type="spellStart"/>
      <w:r>
        <w:rPr>
          <w:b/>
        </w:rPr>
        <w:t>车险市场特点</w:t>
      </w:r>
      <w:proofErr w:type="spellEnd"/>
    </w:p>
    <w:p w14:paraId="38EEC9F6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车均保费小幅下降至</w:t>
      </w:r>
      <w:r>
        <w:rPr>
          <w:sz w:val="21"/>
          <w:lang w:eastAsia="zh-CN"/>
        </w:rPr>
        <w:t>1,850</w:t>
      </w:r>
      <w:r>
        <w:rPr>
          <w:sz w:val="21"/>
          <w:lang w:eastAsia="zh-CN"/>
        </w:rPr>
        <w:t>元，同比下降</w:t>
      </w:r>
      <w:r>
        <w:rPr>
          <w:sz w:val="21"/>
          <w:lang w:eastAsia="zh-CN"/>
        </w:rPr>
        <w:t>1.5%</w:t>
      </w:r>
    </w:p>
    <w:p w14:paraId="3BC6B9CF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综合改革深化期，自主定价系数浮动范围扩大</w:t>
      </w:r>
    </w:p>
    <w:p w14:paraId="51D31310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新能源车险保费收入</w:t>
      </w:r>
      <w:r>
        <w:rPr>
          <w:sz w:val="21"/>
          <w:lang w:eastAsia="zh-CN"/>
        </w:rPr>
        <w:t>280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45%</w:t>
      </w:r>
      <w:r>
        <w:rPr>
          <w:sz w:val="21"/>
          <w:lang w:eastAsia="zh-CN"/>
        </w:rPr>
        <w:t>，成为重要增长极</w:t>
      </w:r>
    </w:p>
    <w:p w14:paraId="298F36FD" w14:textId="77777777" w:rsidR="0005723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非车险业务的快速增长有效对冲了车险增速放缓的影响，财险公司业务结构持续优化。</w:t>
      </w:r>
    </w:p>
    <w:p w14:paraId="1C1A545A" w14:textId="77777777" w:rsidR="0005723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5.2.1  </w:t>
      </w:r>
      <w:r>
        <w:rPr>
          <w:rFonts w:ascii="Arial" w:eastAsia="黑体" w:hAnsi="Arial"/>
          <w:b/>
          <w:color w:val="404040"/>
          <w:sz w:val="25"/>
          <w:lang w:eastAsia="zh-CN"/>
        </w:rPr>
        <w:t>互联网保险平台</w:t>
      </w:r>
    </w:p>
    <w:p w14:paraId="3922C541" w14:textId="77777777" w:rsidR="0005723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互联网保险本季度实现保费收入</w:t>
      </w:r>
      <w:r>
        <w:rPr>
          <w:lang w:eastAsia="zh-CN"/>
        </w:rPr>
        <w:t>4,360</w:t>
      </w:r>
      <w:r>
        <w:rPr>
          <w:lang w:eastAsia="zh-CN"/>
        </w:rPr>
        <w:t>亿元，同比增长</w:t>
      </w:r>
      <w:r>
        <w:rPr>
          <w:lang w:eastAsia="zh-CN"/>
        </w:rPr>
        <w:t>18.5%</w:t>
      </w:r>
      <w:r>
        <w:rPr>
          <w:lang w:eastAsia="zh-CN"/>
        </w:rPr>
        <w:t>，增速远超行业平均。</w:t>
      </w:r>
    </w:p>
    <w:p w14:paraId="05F6302C" w14:textId="77777777" w:rsidR="000572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249C7F" wp14:editId="7894A3DA">
            <wp:extent cx="4754880" cy="2947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渠道变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E7E" w14:textId="77777777" w:rsidR="0005723E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>3</w:t>
      </w:r>
      <w:r>
        <w:rPr>
          <w:i/>
          <w:color w:val="666666"/>
          <w:sz w:val="19"/>
          <w:lang w:eastAsia="zh-CN"/>
        </w:rPr>
        <w:t>：</w:t>
      </w:r>
      <w:r>
        <w:rPr>
          <w:i/>
          <w:color w:val="666666"/>
          <w:sz w:val="19"/>
          <w:lang w:eastAsia="zh-CN"/>
        </w:rPr>
        <w:t>2024-2026</w:t>
      </w:r>
      <w:r>
        <w:rPr>
          <w:i/>
          <w:color w:val="666666"/>
          <w:sz w:val="19"/>
          <w:lang w:eastAsia="zh-CN"/>
        </w:rPr>
        <w:t>年各销售渠道保费占比变化</w:t>
      </w:r>
    </w:p>
    <w:p w14:paraId="10D88EB2" w14:textId="77777777" w:rsidR="0005723E" w:rsidRDefault="00000000">
      <w:pPr>
        <w:spacing w:before="120" w:after="40"/>
      </w:pPr>
      <w:proofErr w:type="spellStart"/>
      <w:r>
        <w:rPr>
          <w:b/>
        </w:rPr>
        <w:t>平台格局</w:t>
      </w:r>
      <w:proofErr w:type="spellEnd"/>
    </w:p>
    <w:p w14:paraId="5EE6EAC0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头部互联网保险平台集中度提升，</w:t>
      </w:r>
      <w:r>
        <w:rPr>
          <w:sz w:val="21"/>
          <w:lang w:eastAsia="zh-CN"/>
        </w:rPr>
        <w:t>CR3</w:t>
      </w:r>
      <w:r>
        <w:rPr>
          <w:sz w:val="21"/>
          <w:lang w:eastAsia="zh-CN"/>
        </w:rPr>
        <w:t>占比达</w:t>
      </w:r>
      <w:r>
        <w:rPr>
          <w:sz w:val="21"/>
          <w:lang w:eastAsia="zh-CN"/>
        </w:rPr>
        <w:t>55%</w:t>
      </w:r>
    </w:p>
    <w:p w14:paraId="5BC8A868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保险公司自营平台投入加大，直销能力增强</w:t>
      </w:r>
    </w:p>
    <w:p w14:paraId="3BF183C2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短视频和直播渠道成为新</w:t>
      </w:r>
      <w:proofErr w:type="gramStart"/>
      <w:r>
        <w:rPr>
          <w:sz w:val="21"/>
          <w:lang w:eastAsia="zh-CN"/>
        </w:rPr>
        <w:t>的获客入口</w:t>
      </w:r>
      <w:proofErr w:type="gramEnd"/>
    </w:p>
    <w:p w14:paraId="3B588B7C" w14:textId="77777777" w:rsidR="0005723E" w:rsidRDefault="00000000">
      <w:pPr>
        <w:spacing w:before="120" w:after="40"/>
      </w:pPr>
      <w:proofErr w:type="spellStart"/>
      <w:r>
        <w:rPr>
          <w:b/>
        </w:rPr>
        <w:t>产品特征</w:t>
      </w:r>
      <w:proofErr w:type="spellEnd"/>
    </w:p>
    <w:p w14:paraId="4EEBDE00" w14:textId="77777777" w:rsidR="0005723E" w:rsidRDefault="00000000">
      <w:pPr>
        <w:pStyle w:val="a0"/>
        <w:spacing w:after="20"/>
        <w:rPr>
          <w:lang w:eastAsia="zh-CN"/>
        </w:rPr>
      </w:pPr>
      <w:proofErr w:type="gramStart"/>
      <w:r>
        <w:rPr>
          <w:sz w:val="21"/>
          <w:lang w:eastAsia="zh-CN"/>
        </w:rPr>
        <w:t>短险产品</w:t>
      </w:r>
      <w:proofErr w:type="gramEnd"/>
      <w:r>
        <w:rPr>
          <w:sz w:val="21"/>
          <w:lang w:eastAsia="zh-CN"/>
        </w:rPr>
        <w:t>为主，件均保费约</w:t>
      </w:r>
      <w:r>
        <w:rPr>
          <w:sz w:val="21"/>
          <w:lang w:eastAsia="zh-CN"/>
        </w:rPr>
        <w:t>350</w:t>
      </w:r>
      <w:r>
        <w:rPr>
          <w:sz w:val="21"/>
          <w:lang w:eastAsia="zh-CN"/>
        </w:rPr>
        <w:t>元</w:t>
      </w:r>
    </w:p>
    <w:p w14:paraId="49B08A8E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健康险和</w:t>
      </w:r>
      <w:proofErr w:type="gramStart"/>
      <w:r>
        <w:rPr>
          <w:sz w:val="21"/>
          <w:lang w:eastAsia="zh-CN"/>
        </w:rPr>
        <w:t>意外险占比</w:t>
      </w:r>
      <w:proofErr w:type="gramEnd"/>
      <w:r>
        <w:rPr>
          <w:sz w:val="21"/>
          <w:lang w:eastAsia="zh-CN"/>
        </w:rPr>
        <w:t>超过</w:t>
      </w:r>
      <w:r>
        <w:rPr>
          <w:sz w:val="21"/>
          <w:lang w:eastAsia="zh-CN"/>
        </w:rPr>
        <w:t>70%</w:t>
      </w:r>
    </w:p>
    <w:p w14:paraId="14C03A49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长期</w:t>
      </w:r>
      <w:proofErr w:type="gramStart"/>
      <w:r>
        <w:rPr>
          <w:sz w:val="21"/>
          <w:lang w:eastAsia="zh-CN"/>
        </w:rPr>
        <w:t>险产品</w:t>
      </w:r>
      <w:proofErr w:type="gramEnd"/>
      <w:r>
        <w:rPr>
          <w:sz w:val="21"/>
          <w:lang w:eastAsia="zh-CN"/>
        </w:rPr>
        <w:t>线上化率不足</w:t>
      </w:r>
      <w:r>
        <w:rPr>
          <w:sz w:val="21"/>
          <w:lang w:eastAsia="zh-CN"/>
        </w:rPr>
        <w:t>8%</w:t>
      </w:r>
      <w:r>
        <w:rPr>
          <w:sz w:val="21"/>
          <w:lang w:eastAsia="zh-CN"/>
        </w:rPr>
        <w:t>，仍有较大提升空间</w:t>
      </w:r>
    </w:p>
    <w:p w14:paraId="2D88CE0C" w14:textId="77777777" w:rsidR="0005723E" w:rsidRDefault="00000000">
      <w:pPr>
        <w:spacing w:before="120" w:after="40"/>
      </w:pPr>
      <w:proofErr w:type="spellStart"/>
      <w:r>
        <w:rPr>
          <w:b/>
        </w:rPr>
        <w:t>技术赋能</w:t>
      </w:r>
      <w:proofErr w:type="spellEnd"/>
    </w:p>
    <w:p w14:paraId="74557FCB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智能核保覆盖率超过</w:t>
      </w:r>
      <w:r>
        <w:rPr>
          <w:sz w:val="21"/>
          <w:lang w:eastAsia="zh-CN"/>
        </w:rPr>
        <w:t>90%</w:t>
      </w:r>
      <w:r>
        <w:rPr>
          <w:sz w:val="21"/>
          <w:lang w:eastAsia="zh-CN"/>
        </w:rPr>
        <w:t>，秒级出</w:t>
      </w:r>
      <w:proofErr w:type="gramStart"/>
      <w:r>
        <w:rPr>
          <w:sz w:val="21"/>
          <w:lang w:eastAsia="zh-CN"/>
        </w:rPr>
        <w:t>单成为标</w:t>
      </w:r>
      <w:proofErr w:type="gramEnd"/>
      <w:r>
        <w:rPr>
          <w:sz w:val="21"/>
          <w:lang w:eastAsia="zh-CN"/>
        </w:rPr>
        <w:t>配</w:t>
      </w:r>
    </w:p>
    <w:p w14:paraId="0F147BFF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AI</w:t>
      </w:r>
      <w:r>
        <w:rPr>
          <w:sz w:val="21"/>
          <w:lang w:eastAsia="zh-CN"/>
        </w:rPr>
        <w:t>客</w:t>
      </w:r>
      <w:proofErr w:type="gramStart"/>
      <w:r>
        <w:rPr>
          <w:sz w:val="21"/>
          <w:lang w:eastAsia="zh-CN"/>
        </w:rPr>
        <w:t>服处理</w:t>
      </w:r>
      <w:proofErr w:type="gramEnd"/>
      <w:r>
        <w:rPr>
          <w:sz w:val="21"/>
          <w:lang w:eastAsia="zh-CN"/>
        </w:rPr>
        <w:t>超过</w:t>
      </w:r>
      <w:r>
        <w:rPr>
          <w:sz w:val="21"/>
          <w:lang w:eastAsia="zh-CN"/>
        </w:rPr>
        <w:t>80%</w:t>
      </w:r>
      <w:r>
        <w:rPr>
          <w:sz w:val="21"/>
          <w:lang w:eastAsia="zh-CN"/>
        </w:rPr>
        <w:t>的在线咨询</w:t>
      </w:r>
    </w:p>
    <w:p w14:paraId="1FE592D2" w14:textId="77777777" w:rsidR="0005723E" w:rsidRDefault="00000000">
      <w:pPr>
        <w:pStyle w:val="a0"/>
        <w:spacing w:after="20"/>
      </w:pPr>
      <w:r>
        <w:rPr>
          <w:sz w:val="21"/>
        </w:rPr>
        <w:t>电子保单普及率达</w:t>
      </w:r>
      <w:r>
        <w:rPr>
          <w:sz w:val="21"/>
        </w:rPr>
        <w:t>95%</w:t>
      </w:r>
      <w:r>
        <w:rPr>
          <w:sz w:val="21"/>
        </w:rPr>
        <w:t>以上</w:t>
      </w:r>
    </w:p>
    <w:p w14:paraId="27DDC53D" w14:textId="77777777" w:rsidR="00005498" w:rsidRDefault="00005498">
      <w:pPr>
        <w:spacing w:before="160" w:after="120"/>
        <w:rPr>
          <w:color w:val="AAAAAA"/>
          <w:sz w:val="18"/>
        </w:rPr>
      </w:pPr>
    </w:p>
    <w:p w14:paraId="01AC6ED5" w14:textId="7160C11F" w:rsidR="0005723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2.2.1  </w:t>
      </w:r>
      <w:r>
        <w:rPr>
          <w:rFonts w:ascii="Arial" w:eastAsia="黑体" w:hAnsi="Arial"/>
          <w:b/>
          <w:color w:val="404040"/>
          <w:sz w:val="25"/>
          <w:lang w:eastAsia="zh-CN"/>
        </w:rPr>
        <w:t>利率走势分析</w:t>
      </w:r>
    </w:p>
    <w:p w14:paraId="4F249022" w14:textId="77777777" w:rsidR="0005723E" w:rsidRDefault="00000000">
      <w:pPr>
        <w:spacing w:before="120" w:after="40"/>
        <w:rPr>
          <w:lang w:eastAsia="zh-CN"/>
        </w:rPr>
      </w:pPr>
      <w:r>
        <w:rPr>
          <w:b/>
          <w:lang w:eastAsia="zh-CN"/>
        </w:rPr>
        <w:t>市场利率水平</w:t>
      </w:r>
    </w:p>
    <w:p w14:paraId="48BA4F61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1</w:t>
      </w:r>
      <w:r>
        <w:rPr>
          <w:sz w:val="21"/>
          <w:lang w:eastAsia="zh-CN"/>
        </w:rPr>
        <w:t>年期</w:t>
      </w:r>
      <w:r>
        <w:rPr>
          <w:sz w:val="21"/>
          <w:lang w:eastAsia="zh-CN"/>
        </w:rPr>
        <w:t>LPR</w:t>
      </w:r>
      <w:r>
        <w:rPr>
          <w:sz w:val="21"/>
          <w:lang w:eastAsia="zh-CN"/>
        </w:rPr>
        <w:t>维持在</w:t>
      </w:r>
      <w:r>
        <w:rPr>
          <w:sz w:val="21"/>
          <w:lang w:eastAsia="zh-CN"/>
        </w:rPr>
        <w:t>3.10%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5</w:t>
      </w:r>
      <w:r>
        <w:rPr>
          <w:sz w:val="21"/>
          <w:lang w:eastAsia="zh-CN"/>
        </w:rPr>
        <w:t>年期以上</w:t>
      </w:r>
      <w:r>
        <w:rPr>
          <w:sz w:val="21"/>
          <w:lang w:eastAsia="zh-CN"/>
        </w:rPr>
        <w:t>LPR</w:t>
      </w:r>
      <w:r>
        <w:rPr>
          <w:sz w:val="21"/>
          <w:lang w:eastAsia="zh-CN"/>
        </w:rPr>
        <w:t>为</w:t>
      </w:r>
      <w:r>
        <w:rPr>
          <w:sz w:val="21"/>
          <w:lang w:eastAsia="zh-CN"/>
        </w:rPr>
        <w:t>3.60%</w:t>
      </w:r>
      <w:r>
        <w:rPr>
          <w:sz w:val="21"/>
          <w:lang w:eastAsia="zh-CN"/>
        </w:rPr>
        <w:t>，与一季度持平</w:t>
      </w:r>
    </w:p>
    <w:p w14:paraId="2E8423B7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10</w:t>
      </w:r>
      <w:r>
        <w:rPr>
          <w:sz w:val="21"/>
          <w:lang w:eastAsia="zh-CN"/>
        </w:rPr>
        <w:t>年期国债收益率在</w:t>
      </w:r>
      <w:r>
        <w:rPr>
          <w:sz w:val="21"/>
          <w:lang w:eastAsia="zh-CN"/>
        </w:rPr>
        <w:t>2.35%-2.50%</w:t>
      </w:r>
      <w:r>
        <w:rPr>
          <w:sz w:val="21"/>
          <w:lang w:eastAsia="zh-CN"/>
        </w:rPr>
        <w:t>区间波动，均值较一季度下行约</w:t>
      </w:r>
      <w:r>
        <w:rPr>
          <w:sz w:val="21"/>
          <w:lang w:eastAsia="zh-CN"/>
        </w:rPr>
        <w:t>5</w:t>
      </w:r>
      <w:r>
        <w:rPr>
          <w:sz w:val="21"/>
          <w:lang w:eastAsia="zh-CN"/>
        </w:rPr>
        <w:t>个基点</w:t>
      </w:r>
    </w:p>
    <w:p w14:paraId="1E5AF767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货币市场利率中枢稳定，</w:t>
      </w:r>
      <w:r>
        <w:rPr>
          <w:sz w:val="21"/>
          <w:lang w:eastAsia="zh-CN"/>
        </w:rPr>
        <w:t>DR007</w:t>
      </w:r>
      <w:r>
        <w:rPr>
          <w:sz w:val="21"/>
          <w:lang w:eastAsia="zh-CN"/>
        </w:rPr>
        <w:t>均值在</w:t>
      </w:r>
      <w:r>
        <w:rPr>
          <w:sz w:val="21"/>
          <w:lang w:eastAsia="zh-CN"/>
        </w:rPr>
        <w:t>1.85%</w:t>
      </w:r>
      <w:r>
        <w:rPr>
          <w:sz w:val="21"/>
          <w:lang w:eastAsia="zh-CN"/>
        </w:rPr>
        <w:t>左右</w:t>
      </w:r>
    </w:p>
    <w:p w14:paraId="22D1EEAE" w14:textId="77777777" w:rsidR="0005723E" w:rsidRDefault="00000000">
      <w:pPr>
        <w:spacing w:before="120" w:after="40"/>
      </w:pPr>
      <w:proofErr w:type="spellStart"/>
      <w:r>
        <w:rPr>
          <w:b/>
        </w:rPr>
        <w:t>对保险行业的影响</w:t>
      </w:r>
      <w:proofErr w:type="spellEnd"/>
    </w:p>
    <w:p w14:paraId="6ABE4EE4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lastRenderedPageBreak/>
        <w:t>新单定价利率：监管引导传统寿险产品定价利率上限下调至</w:t>
      </w:r>
      <w:r>
        <w:rPr>
          <w:sz w:val="21"/>
          <w:lang w:eastAsia="zh-CN"/>
        </w:rPr>
        <w:t>2.5%</w:t>
      </w:r>
      <w:r>
        <w:rPr>
          <w:sz w:val="21"/>
          <w:lang w:eastAsia="zh-CN"/>
        </w:rPr>
        <w:t>，分红险和万能险吸引力相对提升</w:t>
      </w:r>
    </w:p>
    <w:p w14:paraId="21E57E2F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存量业务压力：高利率存量保单的利差损风险需持续关注</w:t>
      </w:r>
    </w:p>
    <w:p w14:paraId="7C26A67D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资产配置调整：</w:t>
      </w:r>
      <w:proofErr w:type="gramStart"/>
      <w:r>
        <w:rPr>
          <w:sz w:val="21"/>
          <w:lang w:eastAsia="zh-CN"/>
        </w:rPr>
        <w:t>险企增配</w:t>
      </w:r>
      <w:proofErr w:type="gramEnd"/>
      <w:r>
        <w:rPr>
          <w:sz w:val="21"/>
          <w:lang w:eastAsia="zh-CN"/>
        </w:rPr>
        <w:t>长久期利率债和优质信用债，拉长资产久期</w:t>
      </w:r>
    </w:p>
    <w:p w14:paraId="71CE0C4F" w14:textId="77777777" w:rsidR="0005723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利率下行环境中，</w:t>
      </w:r>
      <w:proofErr w:type="gramStart"/>
      <w:r>
        <w:rPr>
          <w:lang w:eastAsia="zh-CN"/>
        </w:rPr>
        <w:t>险企的</w:t>
      </w:r>
      <w:proofErr w:type="gramEnd"/>
      <w:r>
        <w:rPr>
          <w:lang w:eastAsia="zh-CN"/>
        </w:rPr>
        <w:t>资产负债匹配管理面临挑战，也催生了产品结构和投资策略的主动调整。</w:t>
      </w:r>
    </w:p>
    <w:p w14:paraId="357A6543" w14:textId="77777777" w:rsidR="00005498" w:rsidRDefault="00005498">
      <w:pPr>
        <w:spacing w:before="160" w:after="120"/>
        <w:rPr>
          <w:color w:val="AAAAAA"/>
          <w:sz w:val="18"/>
          <w:lang w:eastAsia="zh-CN"/>
        </w:rPr>
      </w:pPr>
    </w:p>
    <w:p w14:paraId="0CBFC628" w14:textId="01E47C1F" w:rsidR="0005723E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4.3  </w:t>
      </w:r>
      <w:r>
        <w:rPr>
          <w:rFonts w:ascii="Arial" w:eastAsia="黑体" w:hAnsi="Arial"/>
          <w:b/>
          <w:color w:val="2E5C8A"/>
          <w:sz w:val="28"/>
          <w:lang w:eastAsia="zh-CN"/>
        </w:rPr>
        <w:t>产品定价策略变化</w:t>
      </w:r>
    </w:p>
    <w:p w14:paraId="3421A4BB" w14:textId="77777777" w:rsidR="0005723E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利率下行环境下，产品定价策略经历了显著调整，从粗放式定价向精细化、动态化定价转变。</w:t>
      </w:r>
    </w:p>
    <w:p w14:paraId="09B95641" w14:textId="77777777" w:rsidR="0005723E" w:rsidRDefault="00000000">
      <w:pPr>
        <w:spacing w:before="120" w:after="40"/>
      </w:pPr>
      <w:proofErr w:type="spellStart"/>
      <w:r>
        <w:rPr>
          <w:b/>
        </w:rPr>
        <w:t>定价利率调整</w:t>
      </w:r>
      <w:proofErr w:type="spellEnd"/>
    </w:p>
    <w:p w14:paraId="262EB78F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传统寿险定价利率上限从</w:t>
      </w:r>
      <w:r>
        <w:rPr>
          <w:sz w:val="21"/>
          <w:lang w:eastAsia="zh-CN"/>
        </w:rPr>
        <w:t>3.0%</w:t>
      </w:r>
      <w:r>
        <w:rPr>
          <w:sz w:val="21"/>
          <w:lang w:eastAsia="zh-CN"/>
        </w:rPr>
        <w:t>下调至</w:t>
      </w:r>
      <w:r>
        <w:rPr>
          <w:sz w:val="21"/>
          <w:lang w:eastAsia="zh-CN"/>
        </w:rPr>
        <w:t>2.5%</w:t>
      </w:r>
    </w:p>
    <w:p w14:paraId="6944A869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分红险演示利率上限调整为</w:t>
      </w:r>
      <w:r>
        <w:rPr>
          <w:sz w:val="21"/>
          <w:lang w:eastAsia="zh-CN"/>
        </w:rPr>
        <w:t>4.0%</w:t>
      </w:r>
    </w:p>
    <w:p w14:paraId="09FDBE95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万能险最低保证利率上限下调至</w:t>
      </w:r>
      <w:r>
        <w:rPr>
          <w:sz w:val="21"/>
          <w:lang w:eastAsia="zh-CN"/>
        </w:rPr>
        <w:t>1.75%</w:t>
      </w:r>
    </w:p>
    <w:p w14:paraId="668505F6" w14:textId="77777777" w:rsidR="0005723E" w:rsidRDefault="00000000">
      <w:pPr>
        <w:spacing w:before="120" w:after="40"/>
      </w:pPr>
      <w:proofErr w:type="spellStart"/>
      <w:r>
        <w:rPr>
          <w:b/>
        </w:rPr>
        <w:t>定价模型演进</w:t>
      </w:r>
      <w:proofErr w:type="spellEnd"/>
    </w:p>
    <w:p w14:paraId="1842922D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大数据精算模型应用范围扩大，定价颗粒</w:t>
      </w:r>
      <w:proofErr w:type="gramStart"/>
      <w:r>
        <w:rPr>
          <w:sz w:val="21"/>
          <w:lang w:eastAsia="zh-CN"/>
        </w:rPr>
        <w:t>度更加</w:t>
      </w:r>
      <w:proofErr w:type="gramEnd"/>
      <w:r>
        <w:rPr>
          <w:sz w:val="21"/>
          <w:lang w:eastAsia="zh-CN"/>
        </w:rPr>
        <w:t>精细</w:t>
      </w:r>
    </w:p>
    <w:p w14:paraId="4CEE79BA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动态定价试点从车险向健康险延伸</w:t>
      </w:r>
    </w:p>
    <w:p w14:paraId="73C0A2F1" w14:textId="77777777" w:rsidR="0005723E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行为数据定价（</w:t>
      </w:r>
      <w:r>
        <w:rPr>
          <w:sz w:val="21"/>
          <w:lang w:eastAsia="zh-CN"/>
        </w:rPr>
        <w:t>BPAI</w:t>
      </w:r>
      <w:r>
        <w:rPr>
          <w:sz w:val="21"/>
          <w:lang w:eastAsia="zh-CN"/>
        </w:rPr>
        <w:t>）在部分产品中试运行</w:t>
      </w:r>
    </w:p>
    <w:sectPr w:rsidR="00057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3FFF" w14:textId="77777777" w:rsidR="001C1C7C" w:rsidRDefault="001C1C7C" w:rsidP="00005498">
      <w:pPr>
        <w:spacing w:after="0" w:line="240" w:lineRule="auto"/>
      </w:pPr>
      <w:r>
        <w:separator/>
      </w:r>
    </w:p>
  </w:endnote>
  <w:endnote w:type="continuationSeparator" w:id="0">
    <w:p w14:paraId="24DCB4CC" w14:textId="77777777" w:rsidR="001C1C7C" w:rsidRDefault="001C1C7C" w:rsidP="00005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E9D62" w14:textId="77777777" w:rsidR="001C1C7C" w:rsidRDefault="001C1C7C" w:rsidP="00005498">
      <w:pPr>
        <w:spacing w:after="0" w:line="240" w:lineRule="auto"/>
      </w:pPr>
      <w:r>
        <w:separator/>
      </w:r>
    </w:p>
  </w:footnote>
  <w:footnote w:type="continuationSeparator" w:id="0">
    <w:p w14:paraId="3A62B608" w14:textId="77777777" w:rsidR="001C1C7C" w:rsidRDefault="001C1C7C" w:rsidP="00005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256840">
    <w:abstractNumId w:val="8"/>
  </w:num>
  <w:num w:numId="2" w16cid:durableId="754862207">
    <w:abstractNumId w:val="6"/>
  </w:num>
  <w:num w:numId="3" w16cid:durableId="398792364">
    <w:abstractNumId w:val="5"/>
  </w:num>
  <w:num w:numId="4" w16cid:durableId="1819223077">
    <w:abstractNumId w:val="4"/>
  </w:num>
  <w:num w:numId="5" w16cid:durableId="1893691004">
    <w:abstractNumId w:val="7"/>
  </w:num>
  <w:num w:numId="6" w16cid:durableId="1255433392">
    <w:abstractNumId w:val="3"/>
  </w:num>
  <w:num w:numId="7" w16cid:durableId="680157057">
    <w:abstractNumId w:val="2"/>
  </w:num>
  <w:num w:numId="8" w16cid:durableId="1540585425">
    <w:abstractNumId w:val="1"/>
  </w:num>
  <w:num w:numId="9" w16cid:durableId="47016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98"/>
    <w:rsid w:val="00034616"/>
    <w:rsid w:val="0005723E"/>
    <w:rsid w:val="0006063C"/>
    <w:rsid w:val="0015074B"/>
    <w:rsid w:val="001C1C7C"/>
    <w:rsid w:val="0029639D"/>
    <w:rsid w:val="00326F90"/>
    <w:rsid w:val="008B6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17575E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2026-07-20T03:36:37Z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3383b0c5-3bb8-4c47-9b7a-9845c9a41fc7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