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8569" w14:textId="77777777" w:rsidR="004B37D9" w:rsidRDefault="00000000">
      <w:pPr>
        <w:spacing w:before="240" w:after="120"/>
        <w:rPr>
          <w:lang w:eastAsia="zh-CN"/>
        </w:rPr>
      </w:pPr>
      <w:r>
        <w:rPr>
          <w:rFonts w:ascii="Arial" w:eastAsia="黑体" w:hAnsi="Arial"/>
          <w:b/>
          <w:color w:val="1F3864"/>
          <w:sz w:val="32"/>
          <w:lang w:eastAsia="zh-CN"/>
        </w:rPr>
        <w:t>第八章</w:t>
      </w:r>
      <w:r>
        <w:rPr>
          <w:rFonts w:ascii="Arial" w:eastAsia="黑体" w:hAnsi="Arial"/>
          <w:b/>
          <w:color w:val="1F3864"/>
          <w:sz w:val="32"/>
          <w:lang w:eastAsia="zh-CN"/>
        </w:rPr>
        <w:t xml:space="preserve">  </w:t>
      </w:r>
      <w:r>
        <w:rPr>
          <w:rFonts w:ascii="Arial" w:eastAsia="黑体" w:hAnsi="Arial"/>
          <w:b/>
          <w:color w:val="1F3864"/>
          <w:sz w:val="32"/>
          <w:lang w:eastAsia="zh-CN"/>
        </w:rPr>
        <w:t>趋势展望与策略建议</w:t>
      </w:r>
    </w:p>
    <w:p w14:paraId="09ADF872" w14:textId="77777777" w:rsidR="004B37D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展望</w:t>
      </w:r>
      <w:r>
        <w:rPr>
          <w:lang w:eastAsia="zh-CN"/>
        </w:rPr>
        <w:t>2026</w:t>
      </w:r>
      <w:r>
        <w:rPr>
          <w:lang w:eastAsia="zh-CN"/>
        </w:rPr>
        <w:t>年下半年，保险行业有望延续平稳发展态势，同时面临多重机遇与挑战。本报告基于季度调研数据，提出以下趋势研判与策略建议。</w:t>
      </w:r>
    </w:p>
    <w:p w14:paraId="7220E515" w14:textId="77777777" w:rsidR="004B37D9" w:rsidRDefault="00000000">
      <w:pPr>
        <w:spacing w:before="120" w:after="40"/>
      </w:pPr>
      <w:r>
        <w:rPr>
          <w:b/>
        </w:rPr>
        <w:t>行业趋势展望</w:t>
      </w:r>
    </w:p>
    <w:p w14:paraId="73015541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保费增速预计维持在</w:t>
      </w:r>
      <w:r>
        <w:rPr>
          <w:sz w:val="21"/>
          <w:lang w:eastAsia="zh-CN"/>
        </w:rPr>
        <w:t>5%-7%</w:t>
      </w:r>
      <w:r>
        <w:rPr>
          <w:sz w:val="21"/>
          <w:lang w:eastAsia="zh-CN"/>
        </w:rPr>
        <w:t>区间，结构持续优化</w:t>
      </w:r>
    </w:p>
    <w:p w14:paraId="15309DEB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利率环境短期内难以根本扭转，资产负债管理仍是核心课题</w:t>
      </w:r>
    </w:p>
    <w:p w14:paraId="05270B3A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数字化转型进入收获期，科技投入产出比提升</w:t>
      </w:r>
    </w:p>
    <w:p w14:paraId="45E67527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养老保险市场扩容加速，第三支柱发展空间广阔</w:t>
      </w:r>
    </w:p>
    <w:p w14:paraId="35294524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绿色保险与可持续发展相关产品迎来政策窗口期</w:t>
      </w:r>
    </w:p>
    <w:p w14:paraId="0B4E461B" w14:textId="77777777" w:rsidR="004B37D9" w:rsidRDefault="00000000">
      <w:pPr>
        <w:spacing w:before="120" w:after="40"/>
      </w:pPr>
      <w:r>
        <w:rPr>
          <w:b/>
        </w:rPr>
        <w:t>策略建议</w:t>
      </w:r>
    </w:p>
    <w:p w14:paraId="54E42CFC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优化产品结构：降低对高定价利率产品的依赖，发展分红险和万能险</w:t>
      </w:r>
    </w:p>
    <w:p w14:paraId="509E9BB5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深化渠道转型：推进代理人队伍专业化、银保渠道价值化、线上渠道规模化</w:t>
      </w:r>
    </w:p>
    <w:p w14:paraId="6FC858A0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强化风险管理：完善资产负债管理体系，提升极端情景应对能力</w:t>
      </w:r>
    </w:p>
    <w:p w14:paraId="73FCE536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加大科技投入：聚焦</w:t>
      </w:r>
      <w:r>
        <w:rPr>
          <w:sz w:val="21"/>
          <w:lang w:eastAsia="zh-CN"/>
        </w:rPr>
        <w:t>AI</w:t>
      </w:r>
      <w:r>
        <w:rPr>
          <w:sz w:val="21"/>
          <w:lang w:eastAsia="zh-CN"/>
        </w:rPr>
        <w:t>、大数据在核保、理赔、客服等核心环节的深度应用</w:t>
      </w:r>
    </w:p>
    <w:p w14:paraId="47F248D2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拓展生态合作：与医疗、养老、健康管理等领域构建服务生态</w:t>
      </w:r>
    </w:p>
    <w:p w14:paraId="34E07209" w14:textId="77777777" w:rsidR="004B37D9" w:rsidRDefault="00000000">
      <w:pPr>
        <w:spacing w:before="120" w:after="40"/>
      </w:pPr>
      <w:r>
        <w:rPr>
          <w:b/>
        </w:rPr>
        <w:t>风险提示</w:t>
      </w:r>
    </w:p>
    <w:p w14:paraId="2183A3A1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利率持续下行可能导致利差损风险加剧</w:t>
      </w:r>
    </w:p>
    <w:p w14:paraId="52292197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权益市场波动对投资端收益形成压力</w:t>
      </w:r>
    </w:p>
    <w:p w14:paraId="0EFA9059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极端天气事件频发对巨灾保险体系带来考验</w:t>
      </w:r>
    </w:p>
    <w:p w14:paraId="3D806ECA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监管政策调整可能影响部分业务模式</w:t>
      </w:r>
    </w:p>
    <w:p w14:paraId="032707AA" w14:textId="77777777" w:rsidR="004B37D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综上所述，</w:t>
      </w:r>
      <w:r>
        <w:rPr>
          <w:lang w:eastAsia="zh-CN"/>
        </w:rPr>
        <w:t>2026</w:t>
      </w:r>
      <w:r>
        <w:rPr>
          <w:lang w:eastAsia="zh-CN"/>
        </w:rPr>
        <w:t>年第二季度中国保险行业总体保持稳健运行。在宏观经济温和复苏、政策环境持续优化的背景下，行业正经历从规模扩张向质量提升的深刻转型。险企需要把握数字化转型、养老保险扩容、绿色保险发展等结构性机遇，同时做好利率风险、市场风险和操作风险的防范，实现高质量发展。</w:t>
      </w:r>
    </w:p>
    <w:p w14:paraId="5F42F86B" w14:textId="77777777" w:rsidR="007E5208" w:rsidRDefault="007E5208">
      <w:pPr>
        <w:spacing w:before="160" w:after="120"/>
        <w:rPr>
          <w:color w:val="AAAAAA"/>
          <w:sz w:val="18"/>
          <w:lang w:eastAsia="zh-CN"/>
        </w:rPr>
      </w:pPr>
    </w:p>
    <w:p w14:paraId="24ED6D6C" w14:textId="1B17130F" w:rsidR="004B37D9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4.4  </w:t>
      </w:r>
      <w:r>
        <w:rPr>
          <w:rFonts w:ascii="Arial" w:eastAsia="黑体" w:hAnsi="Arial"/>
          <w:b/>
          <w:color w:val="2E5C8A"/>
          <w:sz w:val="28"/>
          <w:lang w:eastAsia="zh-CN"/>
        </w:rPr>
        <w:t>再保险市场动态</w:t>
      </w:r>
    </w:p>
    <w:p w14:paraId="438B9002" w14:textId="77777777" w:rsidR="004B37D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再保险市场在本季度保持平稳运行，分保需求和供给能力基本匹配，创新工具应用范围扩大。</w:t>
      </w:r>
    </w:p>
    <w:p w14:paraId="5C2067C4" w14:textId="77777777" w:rsidR="004B37D9" w:rsidRDefault="00000000">
      <w:pPr>
        <w:spacing w:before="120" w:after="40"/>
      </w:pPr>
      <w:r>
        <w:rPr>
          <w:b/>
        </w:rPr>
        <w:t>市场概况</w:t>
      </w:r>
    </w:p>
    <w:p w14:paraId="6239B3DA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分出保费收入约</w:t>
      </w:r>
      <w:r>
        <w:rPr>
          <w:sz w:val="21"/>
          <w:lang w:eastAsia="zh-CN"/>
        </w:rPr>
        <w:t>1,250</w:t>
      </w:r>
      <w:r>
        <w:rPr>
          <w:sz w:val="21"/>
          <w:lang w:eastAsia="zh-CN"/>
        </w:rPr>
        <w:t>亿元，同比增长</w:t>
      </w:r>
      <w:r>
        <w:rPr>
          <w:sz w:val="21"/>
          <w:lang w:eastAsia="zh-CN"/>
        </w:rPr>
        <w:t>4.8%</w:t>
      </w:r>
    </w:p>
    <w:p w14:paraId="5AB59061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再保险交易对手集中度有所下降，多元化趋势显现</w:t>
      </w:r>
    </w:p>
    <w:p w14:paraId="0270BF72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巨灾再保险安排覆盖范围扩大</w:t>
      </w:r>
    </w:p>
    <w:p w14:paraId="3A6D2299" w14:textId="77777777" w:rsidR="004B37D9" w:rsidRDefault="00000000">
      <w:pPr>
        <w:spacing w:before="120" w:after="40"/>
      </w:pPr>
      <w:r>
        <w:rPr>
          <w:b/>
        </w:rPr>
        <w:t>创新与挑战</w:t>
      </w:r>
    </w:p>
    <w:p w14:paraId="07D52B8B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巨灾债券发行规模同比增长</w:t>
      </w:r>
      <w:r>
        <w:rPr>
          <w:sz w:val="21"/>
          <w:lang w:eastAsia="zh-CN"/>
        </w:rPr>
        <w:t>30%</w:t>
      </w:r>
      <w:r>
        <w:rPr>
          <w:sz w:val="21"/>
          <w:lang w:eastAsia="zh-CN"/>
        </w:rPr>
        <w:t>，风险转移渠道拓宽</w:t>
      </w:r>
    </w:p>
    <w:p w14:paraId="17F42374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lastRenderedPageBreak/>
        <w:t>再保险数字化交易平台建设取得阶段性进展</w:t>
      </w:r>
    </w:p>
    <w:p w14:paraId="0C00D636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极端天气事件增多对巨灾风险管理提出新挑战</w:t>
      </w:r>
    </w:p>
    <w:p w14:paraId="416CFB5E" w14:textId="77777777" w:rsidR="007E5208" w:rsidRDefault="007E5208">
      <w:pPr>
        <w:spacing w:before="160" w:after="120"/>
        <w:rPr>
          <w:color w:val="AAAAAA"/>
          <w:sz w:val="18"/>
          <w:lang w:eastAsia="zh-CN"/>
        </w:rPr>
      </w:pPr>
    </w:p>
    <w:p w14:paraId="3C9CCCEF" w14:textId="656727C1" w:rsidR="004B37D9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404040"/>
          <w:sz w:val="25"/>
          <w:lang w:eastAsia="zh-CN"/>
        </w:rPr>
        <w:t xml:space="preserve">2.3.1  </w:t>
      </w:r>
      <w:r>
        <w:rPr>
          <w:rFonts w:ascii="Arial" w:eastAsia="黑体" w:hAnsi="Arial"/>
          <w:b/>
          <w:color w:val="404040"/>
          <w:sz w:val="25"/>
          <w:lang w:eastAsia="zh-CN"/>
        </w:rPr>
        <w:t>区域保费分布特征</w:t>
      </w:r>
    </w:p>
    <w:p w14:paraId="666EC4A3" w14:textId="77777777" w:rsidR="004B37D9" w:rsidRDefault="00000000">
      <w:pPr>
        <w:spacing w:before="120" w:after="40"/>
      </w:pPr>
      <w:r>
        <w:rPr>
          <w:b/>
        </w:rPr>
        <w:t>区域分化格局</w:t>
      </w:r>
    </w:p>
    <w:p w14:paraId="427A9CEC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东部沿海地区保费收入占全国总量的</w:t>
      </w:r>
      <w:r>
        <w:rPr>
          <w:sz w:val="21"/>
          <w:lang w:eastAsia="zh-CN"/>
        </w:rPr>
        <w:t>58.3%</w:t>
      </w:r>
      <w:r>
        <w:rPr>
          <w:sz w:val="21"/>
          <w:lang w:eastAsia="zh-CN"/>
        </w:rPr>
        <w:t>，但增速放缓至</w:t>
      </w:r>
      <w:r>
        <w:rPr>
          <w:sz w:val="21"/>
          <w:lang w:eastAsia="zh-CN"/>
        </w:rPr>
        <w:t>4.5%</w:t>
      </w:r>
    </w:p>
    <w:p w14:paraId="74E2DF4D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中部地区保费增速领先，同比增长</w:t>
      </w:r>
      <w:r>
        <w:rPr>
          <w:sz w:val="21"/>
          <w:lang w:eastAsia="zh-CN"/>
        </w:rPr>
        <w:t>8.2%</w:t>
      </w:r>
      <w:r>
        <w:rPr>
          <w:sz w:val="21"/>
          <w:lang w:eastAsia="zh-CN"/>
        </w:rPr>
        <w:t>，占比提升至</w:t>
      </w:r>
      <w:r>
        <w:rPr>
          <w:sz w:val="21"/>
          <w:lang w:eastAsia="zh-CN"/>
        </w:rPr>
        <w:t>22.1%</w:t>
      </w:r>
    </w:p>
    <w:p w14:paraId="3E9D7772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西部地区保持稳定增长，同比增长</w:t>
      </w:r>
      <w:r>
        <w:rPr>
          <w:sz w:val="21"/>
          <w:lang w:eastAsia="zh-CN"/>
        </w:rPr>
        <w:t>7.1%</w:t>
      </w:r>
      <w:r>
        <w:rPr>
          <w:sz w:val="21"/>
          <w:lang w:eastAsia="zh-CN"/>
        </w:rPr>
        <w:t>，政策性保险贡献显著</w:t>
      </w:r>
    </w:p>
    <w:p w14:paraId="39FC2E9A" w14:textId="77777777" w:rsidR="004B37D9" w:rsidRDefault="00000000">
      <w:pPr>
        <w:spacing w:before="120" w:after="40"/>
      </w:pPr>
      <w:r>
        <w:rPr>
          <w:b/>
        </w:rPr>
        <w:t>城乡差异</w:t>
      </w:r>
    </w:p>
    <w:p w14:paraId="1A9489C9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一线城市人均保费支出达</w:t>
      </w:r>
      <w:r>
        <w:rPr>
          <w:sz w:val="21"/>
          <w:lang w:eastAsia="zh-CN"/>
        </w:rPr>
        <w:t>6,200</w:t>
      </w:r>
      <w:r>
        <w:rPr>
          <w:sz w:val="21"/>
          <w:lang w:eastAsia="zh-CN"/>
        </w:rPr>
        <w:t>元，保险密度远高于全国平均水平</w:t>
      </w:r>
    </w:p>
    <w:p w14:paraId="4F76B491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县域及农村市场渗透率不足</w:t>
      </w:r>
      <w:r>
        <w:rPr>
          <w:sz w:val="21"/>
          <w:lang w:eastAsia="zh-CN"/>
        </w:rPr>
        <w:t>15%</w:t>
      </w:r>
      <w:r>
        <w:rPr>
          <w:sz w:val="21"/>
          <w:lang w:eastAsia="zh-CN"/>
        </w:rPr>
        <w:t>，但增速达</w:t>
      </w:r>
      <w:r>
        <w:rPr>
          <w:sz w:val="21"/>
          <w:lang w:eastAsia="zh-CN"/>
        </w:rPr>
        <w:t>10.5%</w:t>
      </w:r>
      <w:r>
        <w:rPr>
          <w:sz w:val="21"/>
          <w:lang w:eastAsia="zh-CN"/>
        </w:rPr>
        <w:t>，潜力巨大</w:t>
      </w:r>
    </w:p>
    <w:p w14:paraId="17FA02A2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县域保险产品供给不足，专属产品设计有待加强</w:t>
      </w:r>
    </w:p>
    <w:p w14:paraId="6D43C02A" w14:textId="77777777" w:rsidR="004B37D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区域市场的差异化特征要求险企制定针对性的市场策略，在发达地区注重产品创新与服务升级，在欠发达地区加大渠道下沉和普惠保险推广力度。</w:t>
      </w:r>
    </w:p>
    <w:p w14:paraId="06FAFA76" w14:textId="77777777" w:rsidR="007E5208" w:rsidRDefault="007E5208">
      <w:pPr>
        <w:spacing w:before="240" w:after="120"/>
        <w:rPr>
          <w:color w:val="AAAAAA"/>
          <w:sz w:val="18"/>
          <w:lang w:eastAsia="zh-CN"/>
        </w:rPr>
      </w:pPr>
    </w:p>
    <w:p w14:paraId="3DED3F94" w14:textId="27411623" w:rsidR="004B37D9" w:rsidRDefault="00000000">
      <w:pPr>
        <w:spacing w:before="240" w:after="120"/>
        <w:rPr>
          <w:lang w:eastAsia="zh-CN"/>
        </w:rPr>
      </w:pPr>
      <w:r>
        <w:rPr>
          <w:rFonts w:ascii="Arial" w:eastAsia="黑体" w:hAnsi="Arial"/>
          <w:b/>
          <w:color w:val="1F3864"/>
          <w:sz w:val="32"/>
          <w:lang w:eastAsia="zh-CN"/>
        </w:rPr>
        <w:t>第七章</w:t>
      </w:r>
      <w:r>
        <w:rPr>
          <w:rFonts w:ascii="Arial" w:eastAsia="黑体" w:hAnsi="Arial"/>
          <w:b/>
          <w:color w:val="1F3864"/>
          <w:sz w:val="32"/>
          <w:lang w:eastAsia="zh-CN"/>
        </w:rPr>
        <w:t xml:space="preserve">  </w:t>
      </w:r>
      <w:r>
        <w:rPr>
          <w:rFonts w:ascii="Arial" w:eastAsia="黑体" w:hAnsi="Arial"/>
          <w:b/>
          <w:color w:val="1F3864"/>
          <w:sz w:val="32"/>
          <w:lang w:eastAsia="zh-CN"/>
        </w:rPr>
        <w:t>行业竞争格局</w:t>
      </w:r>
    </w:p>
    <w:p w14:paraId="51ACE210" w14:textId="77777777" w:rsidR="004B37D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本季度保险行业竞争格局呈现出</w:t>
      </w:r>
      <w:r>
        <w:rPr>
          <w:lang w:eastAsia="zh-CN"/>
        </w:rPr>
        <w:t>"</w:t>
      </w:r>
      <w:r>
        <w:rPr>
          <w:lang w:eastAsia="zh-CN"/>
        </w:rPr>
        <w:t>头部稳健、腰部分化、尾部出清</w:t>
      </w:r>
      <w:r>
        <w:rPr>
          <w:lang w:eastAsia="zh-CN"/>
        </w:rPr>
        <w:t>"</w:t>
      </w:r>
      <w:r>
        <w:rPr>
          <w:lang w:eastAsia="zh-CN"/>
        </w:rPr>
        <w:t>的态势。市场集中度小幅下降，但头部险企的领先地位依然稳固。</w:t>
      </w:r>
    </w:p>
    <w:p w14:paraId="70695CB9" w14:textId="77777777" w:rsidR="004B37D9" w:rsidRDefault="00000000">
      <w:pPr>
        <w:spacing w:before="120" w:after="40"/>
      </w:pPr>
      <w:r>
        <w:rPr>
          <w:b/>
        </w:rPr>
        <w:t>市场集中度</w:t>
      </w:r>
    </w:p>
    <w:p w14:paraId="1517080A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人身险市场</w:t>
      </w:r>
      <w:r>
        <w:rPr>
          <w:sz w:val="21"/>
          <w:lang w:eastAsia="zh-CN"/>
        </w:rPr>
        <w:t>CR5</w:t>
      </w:r>
      <w:r>
        <w:rPr>
          <w:sz w:val="21"/>
          <w:lang w:eastAsia="zh-CN"/>
        </w:rPr>
        <w:t>为</w:t>
      </w:r>
      <w:r>
        <w:rPr>
          <w:sz w:val="21"/>
          <w:lang w:eastAsia="zh-CN"/>
        </w:rPr>
        <w:t>54.2%</w:t>
      </w:r>
      <w:r>
        <w:rPr>
          <w:sz w:val="21"/>
          <w:lang w:eastAsia="zh-CN"/>
        </w:rPr>
        <w:t>，较去年同期下降</w:t>
      </w:r>
      <w:r>
        <w:rPr>
          <w:sz w:val="21"/>
          <w:lang w:eastAsia="zh-CN"/>
        </w:rPr>
        <w:t>0.5</w:t>
      </w:r>
      <w:r>
        <w:rPr>
          <w:sz w:val="21"/>
          <w:lang w:eastAsia="zh-CN"/>
        </w:rPr>
        <w:t>个百分点</w:t>
      </w:r>
    </w:p>
    <w:p w14:paraId="2F9C3197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财产险市场</w:t>
      </w:r>
      <w:r>
        <w:rPr>
          <w:sz w:val="21"/>
          <w:lang w:eastAsia="zh-CN"/>
        </w:rPr>
        <w:t>CR5</w:t>
      </w:r>
      <w:r>
        <w:rPr>
          <w:sz w:val="21"/>
          <w:lang w:eastAsia="zh-CN"/>
        </w:rPr>
        <w:t>为</w:t>
      </w:r>
      <w:r>
        <w:rPr>
          <w:sz w:val="21"/>
          <w:lang w:eastAsia="zh-CN"/>
        </w:rPr>
        <w:t>63.8%</w:t>
      </w:r>
      <w:r>
        <w:rPr>
          <w:sz w:val="21"/>
          <w:lang w:eastAsia="zh-CN"/>
        </w:rPr>
        <w:t>，与去年同期基本持平</w:t>
      </w:r>
    </w:p>
    <w:p w14:paraId="16272C0D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中小险企市场份额分化加剧，部分公司实现逆势增长</w:t>
      </w:r>
    </w:p>
    <w:p w14:paraId="77D1990E" w14:textId="77777777" w:rsidR="004B37D9" w:rsidRDefault="00000000">
      <w:pPr>
        <w:spacing w:before="120" w:after="40"/>
        <w:rPr>
          <w:lang w:eastAsia="zh-CN"/>
        </w:rPr>
      </w:pPr>
      <w:r>
        <w:rPr>
          <w:b/>
          <w:lang w:eastAsia="zh-CN"/>
        </w:rPr>
        <w:t>表</w:t>
      </w:r>
      <w:r>
        <w:rPr>
          <w:b/>
          <w:lang w:eastAsia="zh-CN"/>
        </w:rPr>
        <w:t>3</w:t>
      </w:r>
      <w:r>
        <w:rPr>
          <w:b/>
          <w:lang w:eastAsia="zh-CN"/>
        </w:rPr>
        <w:t>：</w:t>
      </w:r>
      <w:r>
        <w:rPr>
          <w:b/>
          <w:lang w:eastAsia="zh-CN"/>
        </w:rPr>
        <w:t>2026</w:t>
      </w:r>
      <w:r>
        <w:rPr>
          <w:b/>
          <w:lang w:eastAsia="zh-CN"/>
        </w:rPr>
        <w:t>年</w:t>
      </w:r>
      <w:r>
        <w:rPr>
          <w:b/>
          <w:lang w:eastAsia="zh-CN"/>
        </w:rPr>
        <w:t>Q2</w:t>
      </w:r>
      <w:r>
        <w:rPr>
          <w:b/>
          <w:lang w:eastAsia="zh-CN"/>
        </w:rPr>
        <w:t>主要保险公司保费收入排名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B37D9" w14:paraId="73B39C40" w14:textId="77777777" w:rsidTr="004B3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E99FFA" w14:textId="77777777" w:rsidR="004B37D9" w:rsidRDefault="00000000">
            <w:pPr>
              <w:jc w:val="center"/>
            </w:pPr>
            <w:r>
              <w:rPr>
                <w:rFonts w:ascii="Arial" w:eastAsia="黑体" w:hAnsi="Arial"/>
                <w:sz w:val="21"/>
              </w:rPr>
              <w:t>排名</w:t>
            </w:r>
          </w:p>
        </w:tc>
        <w:tc>
          <w:tcPr>
            <w:tcW w:w="1728" w:type="dxa"/>
          </w:tcPr>
          <w:p w14:paraId="23AB1742" w14:textId="77777777" w:rsidR="004B37D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黑体" w:hAnsi="Arial"/>
                <w:sz w:val="21"/>
              </w:rPr>
              <w:t>公司名称</w:t>
            </w:r>
          </w:p>
        </w:tc>
        <w:tc>
          <w:tcPr>
            <w:tcW w:w="1728" w:type="dxa"/>
          </w:tcPr>
          <w:p w14:paraId="75A805DB" w14:textId="77777777" w:rsidR="004B37D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黑体" w:hAnsi="Arial"/>
                <w:sz w:val="21"/>
              </w:rPr>
              <w:t>保费收入</w:t>
            </w:r>
            <w:r>
              <w:rPr>
                <w:rFonts w:ascii="Arial" w:eastAsia="黑体" w:hAnsi="Arial"/>
                <w:sz w:val="21"/>
              </w:rPr>
              <w:t>(</w:t>
            </w:r>
            <w:r>
              <w:rPr>
                <w:rFonts w:ascii="Arial" w:eastAsia="黑体" w:hAnsi="Arial"/>
                <w:sz w:val="21"/>
              </w:rPr>
              <w:t>亿元</w:t>
            </w:r>
            <w:r>
              <w:rPr>
                <w:rFonts w:ascii="Arial" w:eastAsia="黑体" w:hAnsi="Arial"/>
                <w:sz w:val="21"/>
              </w:rPr>
              <w:t>)</w:t>
            </w:r>
          </w:p>
        </w:tc>
        <w:tc>
          <w:tcPr>
            <w:tcW w:w="1728" w:type="dxa"/>
          </w:tcPr>
          <w:p w14:paraId="49F59C51" w14:textId="77777777" w:rsidR="004B37D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黑体" w:hAnsi="Arial"/>
                <w:sz w:val="21"/>
              </w:rPr>
              <w:t>同比增长</w:t>
            </w:r>
          </w:p>
        </w:tc>
        <w:tc>
          <w:tcPr>
            <w:tcW w:w="1728" w:type="dxa"/>
          </w:tcPr>
          <w:p w14:paraId="6E7AAFB5" w14:textId="77777777" w:rsidR="004B37D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黑体" w:hAnsi="Arial"/>
                <w:sz w:val="21"/>
              </w:rPr>
              <w:t>市场份额</w:t>
            </w:r>
          </w:p>
        </w:tc>
      </w:tr>
      <w:tr w:rsidR="004B37D9" w14:paraId="0820FABE" w14:textId="77777777" w:rsidTr="004B3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7E39DC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w="1728" w:type="dxa"/>
          </w:tcPr>
          <w:p w14:paraId="217E9B71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平安人寿</w:t>
            </w:r>
          </w:p>
        </w:tc>
        <w:tc>
          <w:tcPr>
            <w:tcW w:w="1728" w:type="dxa"/>
          </w:tcPr>
          <w:p w14:paraId="111E14D2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3,200</w:t>
            </w:r>
          </w:p>
        </w:tc>
        <w:tc>
          <w:tcPr>
            <w:tcW w:w="1728" w:type="dxa"/>
          </w:tcPr>
          <w:p w14:paraId="4A117CCD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5.8%</w:t>
            </w:r>
          </w:p>
        </w:tc>
        <w:tc>
          <w:tcPr>
            <w:tcW w:w="1728" w:type="dxa"/>
          </w:tcPr>
          <w:p w14:paraId="1BEDAD60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14.7%</w:t>
            </w:r>
          </w:p>
        </w:tc>
      </w:tr>
      <w:tr w:rsidR="004B37D9" w14:paraId="62E3EFCA" w14:textId="77777777" w:rsidTr="004B3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400DB5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w="1728" w:type="dxa"/>
          </w:tcPr>
          <w:p w14:paraId="585ACBEB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中国人寿</w:t>
            </w:r>
          </w:p>
        </w:tc>
        <w:tc>
          <w:tcPr>
            <w:tcW w:w="1728" w:type="dxa"/>
          </w:tcPr>
          <w:p w14:paraId="2E4DD741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2,950</w:t>
            </w:r>
          </w:p>
        </w:tc>
        <w:tc>
          <w:tcPr>
            <w:tcW w:w="1728" w:type="dxa"/>
          </w:tcPr>
          <w:p w14:paraId="7B47AD21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4.2%</w:t>
            </w:r>
          </w:p>
        </w:tc>
        <w:tc>
          <w:tcPr>
            <w:tcW w:w="1728" w:type="dxa"/>
          </w:tcPr>
          <w:p w14:paraId="07C9C700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13.5%</w:t>
            </w:r>
          </w:p>
        </w:tc>
      </w:tr>
      <w:tr w:rsidR="004B37D9" w14:paraId="4458E3E3" w14:textId="77777777" w:rsidTr="004B3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72F957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w="1728" w:type="dxa"/>
          </w:tcPr>
          <w:p w14:paraId="1ED45A18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太保寿险</w:t>
            </w:r>
          </w:p>
        </w:tc>
        <w:tc>
          <w:tcPr>
            <w:tcW w:w="1728" w:type="dxa"/>
          </w:tcPr>
          <w:p w14:paraId="53911C3D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1,680</w:t>
            </w:r>
          </w:p>
        </w:tc>
        <w:tc>
          <w:tcPr>
            <w:tcW w:w="1728" w:type="dxa"/>
          </w:tcPr>
          <w:p w14:paraId="00F541FB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8.5%</w:t>
            </w:r>
          </w:p>
        </w:tc>
        <w:tc>
          <w:tcPr>
            <w:tcW w:w="1728" w:type="dxa"/>
          </w:tcPr>
          <w:p w14:paraId="5BF0EA49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7.7%</w:t>
            </w:r>
          </w:p>
        </w:tc>
      </w:tr>
      <w:tr w:rsidR="004B37D9" w14:paraId="36E76A6A" w14:textId="77777777" w:rsidTr="004B3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2B59F4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w="1728" w:type="dxa"/>
          </w:tcPr>
          <w:p w14:paraId="17269AFE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新华保险</w:t>
            </w:r>
          </w:p>
        </w:tc>
        <w:tc>
          <w:tcPr>
            <w:tcW w:w="1728" w:type="dxa"/>
          </w:tcPr>
          <w:p w14:paraId="3F14C256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1,050</w:t>
            </w:r>
          </w:p>
        </w:tc>
        <w:tc>
          <w:tcPr>
            <w:tcW w:w="1728" w:type="dxa"/>
          </w:tcPr>
          <w:p w14:paraId="1A7042B3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6.2%</w:t>
            </w:r>
          </w:p>
        </w:tc>
        <w:tc>
          <w:tcPr>
            <w:tcW w:w="1728" w:type="dxa"/>
          </w:tcPr>
          <w:p w14:paraId="5FBB7E41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4.8%</w:t>
            </w:r>
          </w:p>
        </w:tc>
      </w:tr>
      <w:tr w:rsidR="004B37D9" w14:paraId="2EA3434C" w14:textId="77777777" w:rsidTr="004B3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EA4670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w="1728" w:type="dxa"/>
          </w:tcPr>
          <w:p w14:paraId="449D2009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泰康人寿</w:t>
            </w:r>
          </w:p>
        </w:tc>
        <w:tc>
          <w:tcPr>
            <w:tcW w:w="1728" w:type="dxa"/>
          </w:tcPr>
          <w:p w14:paraId="5AE2E1F1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980</w:t>
            </w:r>
          </w:p>
        </w:tc>
        <w:tc>
          <w:tcPr>
            <w:tcW w:w="1728" w:type="dxa"/>
          </w:tcPr>
          <w:p w14:paraId="4D02D13D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7.1%</w:t>
            </w:r>
          </w:p>
        </w:tc>
        <w:tc>
          <w:tcPr>
            <w:tcW w:w="1728" w:type="dxa"/>
          </w:tcPr>
          <w:p w14:paraId="0021E037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4.5%</w:t>
            </w:r>
          </w:p>
        </w:tc>
      </w:tr>
      <w:tr w:rsidR="004B37D9" w14:paraId="140DB654" w14:textId="77777777" w:rsidTr="004B3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597F9F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w="1728" w:type="dxa"/>
          </w:tcPr>
          <w:p w14:paraId="2C81C3CA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人保财险</w:t>
            </w:r>
          </w:p>
        </w:tc>
        <w:tc>
          <w:tcPr>
            <w:tcW w:w="1728" w:type="dxa"/>
          </w:tcPr>
          <w:p w14:paraId="0940EBBC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2,450</w:t>
            </w:r>
          </w:p>
        </w:tc>
        <w:tc>
          <w:tcPr>
            <w:tcW w:w="1728" w:type="dxa"/>
          </w:tcPr>
          <w:p w14:paraId="1AA04C7D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5.0%</w:t>
            </w:r>
          </w:p>
        </w:tc>
        <w:tc>
          <w:tcPr>
            <w:tcW w:w="1728" w:type="dxa"/>
          </w:tcPr>
          <w:p w14:paraId="12A30BF0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11.2%</w:t>
            </w:r>
          </w:p>
        </w:tc>
      </w:tr>
      <w:tr w:rsidR="004B37D9" w14:paraId="1FA0345C" w14:textId="77777777" w:rsidTr="004B37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187A92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w="1728" w:type="dxa"/>
          </w:tcPr>
          <w:p w14:paraId="5F232CDF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平安产险</w:t>
            </w:r>
          </w:p>
        </w:tc>
        <w:tc>
          <w:tcPr>
            <w:tcW w:w="1728" w:type="dxa"/>
          </w:tcPr>
          <w:p w14:paraId="637D4E56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1,520</w:t>
            </w:r>
          </w:p>
        </w:tc>
        <w:tc>
          <w:tcPr>
            <w:tcW w:w="1728" w:type="dxa"/>
          </w:tcPr>
          <w:p w14:paraId="59332596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6.3%</w:t>
            </w:r>
          </w:p>
        </w:tc>
        <w:tc>
          <w:tcPr>
            <w:tcW w:w="1728" w:type="dxa"/>
          </w:tcPr>
          <w:p w14:paraId="1A35DE5C" w14:textId="77777777" w:rsidR="004B37D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7.0%</w:t>
            </w:r>
          </w:p>
        </w:tc>
      </w:tr>
      <w:tr w:rsidR="004B37D9" w14:paraId="4E3234B2" w14:textId="77777777" w:rsidTr="004B37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056518" w14:textId="77777777" w:rsidR="004B37D9" w:rsidRDefault="00000000">
            <w:pPr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w="1728" w:type="dxa"/>
          </w:tcPr>
          <w:p w14:paraId="4A0421FC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太保产险</w:t>
            </w:r>
          </w:p>
        </w:tc>
        <w:tc>
          <w:tcPr>
            <w:tcW w:w="1728" w:type="dxa"/>
          </w:tcPr>
          <w:p w14:paraId="1B989957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920</w:t>
            </w:r>
          </w:p>
        </w:tc>
        <w:tc>
          <w:tcPr>
            <w:tcW w:w="1728" w:type="dxa"/>
          </w:tcPr>
          <w:p w14:paraId="483F5B72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5.8%</w:t>
            </w:r>
          </w:p>
        </w:tc>
        <w:tc>
          <w:tcPr>
            <w:tcW w:w="1728" w:type="dxa"/>
          </w:tcPr>
          <w:p w14:paraId="41A41123" w14:textId="77777777" w:rsidR="004B37D9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1"/>
              </w:rPr>
              <w:t>4.2%</w:t>
            </w:r>
          </w:p>
        </w:tc>
      </w:tr>
    </w:tbl>
    <w:p w14:paraId="771C675A" w14:textId="77777777" w:rsidR="004B37D9" w:rsidRDefault="00000000">
      <w:pPr>
        <w:spacing w:before="120" w:after="40"/>
      </w:pPr>
      <w:r>
        <w:rPr>
          <w:b/>
        </w:rPr>
        <w:t>竞争态势</w:t>
      </w:r>
    </w:p>
    <w:p w14:paraId="17B5EDF8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头部险企凭借品牌和渠道优势维持领先地位</w:t>
      </w:r>
    </w:p>
    <w:p w14:paraId="397709C0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中部险企通过差异化经营实现突围，特色化经营成为关键</w:t>
      </w:r>
    </w:p>
    <w:p w14:paraId="26BDEF9B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lastRenderedPageBreak/>
        <w:t>部分小型险企面临经营压力，行业整合预期升温</w:t>
      </w:r>
    </w:p>
    <w:p w14:paraId="5F9DD384" w14:textId="77777777" w:rsidR="004B37D9" w:rsidRDefault="00000000">
      <w:pPr>
        <w:spacing w:before="120" w:after="40"/>
      </w:pPr>
      <w:r>
        <w:rPr>
          <w:b/>
        </w:rPr>
        <w:t>并购动态</w:t>
      </w:r>
    </w:p>
    <w:p w14:paraId="44C8505C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二季度发生</w:t>
      </w:r>
      <w:r>
        <w:rPr>
          <w:sz w:val="21"/>
          <w:lang w:eastAsia="zh-CN"/>
        </w:rPr>
        <w:t>2</w:t>
      </w:r>
      <w:r>
        <w:rPr>
          <w:sz w:val="21"/>
          <w:lang w:eastAsia="zh-CN"/>
        </w:rPr>
        <w:t>起重大并购事件，涉及金额超过</w:t>
      </w:r>
      <w:r>
        <w:rPr>
          <w:sz w:val="21"/>
          <w:lang w:eastAsia="zh-CN"/>
        </w:rPr>
        <w:t>50</w:t>
      </w:r>
      <w:r>
        <w:rPr>
          <w:sz w:val="21"/>
          <w:lang w:eastAsia="zh-CN"/>
        </w:rPr>
        <w:t>亿元</w:t>
      </w:r>
    </w:p>
    <w:p w14:paraId="53BFB85B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跨业合作增多，保险与医疗、养老、科技企业深度协同</w:t>
      </w:r>
    </w:p>
    <w:p w14:paraId="7D105A37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外资险企加大中国市场投入，新增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家外资独资机构</w:t>
      </w:r>
    </w:p>
    <w:p w14:paraId="0C895F42" w14:textId="77777777" w:rsidR="007E5208" w:rsidRDefault="007E5208">
      <w:pPr>
        <w:spacing w:before="160" w:after="120"/>
        <w:rPr>
          <w:color w:val="AAAAAA"/>
          <w:sz w:val="18"/>
          <w:lang w:eastAsia="zh-CN"/>
        </w:rPr>
      </w:pPr>
    </w:p>
    <w:p w14:paraId="017661C7" w14:textId="0CF42057" w:rsidR="004B37D9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6.3  </w:t>
      </w:r>
      <w:r>
        <w:rPr>
          <w:rFonts w:ascii="Arial" w:eastAsia="黑体" w:hAnsi="Arial"/>
          <w:b/>
          <w:color w:val="2E5C8A"/>
          <w:sz w:val="28"/>
          <w:lang w:eastAsia="zh-CN"/>
        </w:rPr>
        <w:t>反欺诈技术应用</w:t>
      </w:r>
    </w:p>
    <w:p w14:paraId="3591B26F" w14:textId="77777777" w:rsidR="004B37D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反欺诈技术能力在本季度取得显著突破，</w:t>
      </w:r>
      <w:r>
        <w:rPr>
          <w:lang w:eastAsia="zh-CN"/>
        </w:rPr>
        <w:t>AI</w:t>
      </w:r>
      <w:r>
        <w:rPr>
          <w:lang w:eastAsia="zh-CN"/>
        </w:rPr>
        <w:t>和大数据驱动的智能反欺诈体系初步建成。</w:t>
      </w:r>
    </w:p>
    <w:p w14:paraId="31772D6F" w14:textId="77777777" w:rsidR="004B37D9" w:rsidRDefault="00000000">
      <w:pPr>
        <w:spacing w:before="120" w:after="40"/>
      </w:pPr>
      <w:r>
        <w:rPr>
          <w:b/>
        </w:rPr>
        <w:t>技术应用</w:t>
      </w:r>
    </w:p>
    <w:p w14:paraId="4416C9D9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AI</w:t>
      </w:r>
      <w:r>
        <w:rPr>
          <w:sz w:val="21"/>
          <w:lang w:eastAsia="zh-CN"/>
        </w:rPr>
        <w:t>反欺诈模型识别准确率达到</w:t>
      </w:r>
      <w:r>
        <w:rPr>
          <w:sz w:val="21"/>
          <w:lang w:eastAsia="zh-CN"/>
        </w:rPr>
        <w:t>89%</w:t>
      </w:r>
      <w:r>
        <w:rPr>
          <w:sz w:val="21"/>
          <w:lang w:eastAsia="zh-CN"/>
        </w:rPr>
        <w:t>，误报率控制在</w:t>
      </w:r>
      <w:r>
        <w:rPr>
          <w:sz w:val="21"/>
          <w:lang w:eastAsia="zh-CN"/>
        </w:rPr>
        <w:t>5%</w:t>
      </w:r>
      <w:r>
        <w:rPr>
          <w:sz w:val="21"/>
          <w:lang w:eastAsia="zh-CN"/>
        </w:rPr>
        <w:t>以内</w:t>
      </w:r>
    </w:p>
    <w:p w14:paraId="394A7175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图数据库技术应用于团伙欺诈识别，挽回损失约</w:t>
      </w:r>
      <w:r>
        <w:rPr>
          <w:sz w:val="21"/>
          <w:lang w:eastAsia="zh-CN"/>
        </w:rPr>
        <w:t>12</w:t>
      </w:r>
      <w:r>
        <w:rPr>
          <w:sz w:val="21"/>
          <w:lang w:eastAsia="zh-CN"/>
        </w:rPr>
        <w:t>亿元</w:t>
      </w:r>
    </w:p>
    <w:p w14:paraId="77EF775B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区块链技术用于理赔数据防篡改，覆盖</w:t>
      </w:r>
      <w:r>
        <w:rPr>
          <w:sz w:val="21"/>
          <w:lang w:eastAsia="zh-CN"/>
        </w:rPr>
        <w:t>30%</w:t>
      </w:r>
      <w:r>
        <w:rPr>
          <w:sz w:val="21"/>
          <w:lang w:eastAsia="zh-CN"/>
        </w:rPr>
        <w:t>以上的理赔案件</w:t>
      </w:r>
    </w:p>
    <w:p w14:paraId="38C2E6CE" w14:textId="77777777" w:rsidR="004B37D9" w:rsidRDefault="00000000">
      <w:pPr>
        <w:spacing w:before="120" w:after="40"/>
      </w:pPr>
      <w:r>
        <w:rPr>
          <w:b/>
        </w:rPr>
        <w:t>成效评估</w:t>
      </w:r>
    </w:p>
    <w:p w14:paraId="281D3358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疑似欺诈案件识别量同比增长</w:t>
      </w:r>
      <w:r>
        <w:rPr>
          <w:sz w:val="21"/>
          <w:lang w:eastAsia="zh-CN"/>
        </w:rPr>
        <w:t>25%</w:t>
      </w:r>
    </w:p>
    <w:p w14:paraId="03478DE4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实际欺诈减损金额约</w:t>
      </w:r>
      <w:r>
        <w:rPr>
          <w:sz w:val="21"/>
          <w:lang w:eastAsia="zh-CN"/>
        </w:rPr>
        <w:t>8.5</w:t>
      </w:r>
      <w:r>
        <w:rPr>
          <w:sz w:val="21"/>
          <w:lang w:eastAsia="zh-CN"/>
        </w:rPr>
        <w:t>亿元</w:t>
      </w:r>
    </w:p>
    <w:p w14:paraId="6B1B0BEA" w14:textId="77777777" w:rsidR="004B37D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行业反欺诈信息共享平台覆盖机构增至</w:t>
      </w:r>
      <w:r>
        <w:rPr>
          <w:sz w:val="21"/>
          <w:lang w:eastAsia="zh-CN"/>
        </w:rPr>
        <w:t>120</w:t>
      </w:r>
      <w:r>
        <w:rPr>
          <w:sz w:val="21"/>
          <w:lang w:eastAsia="zh-CN"/>
        </w:rPr>
        <w:t>家</w:t>
      </w:r>
    </w:p>
    <w:sectPr w:rsidR="004B37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49533" w14:textId="77777777" w:rsidR="00CE5E66" w:rsidRDefault="00CE5E66" w:rsidP="007E5208">
      <w:pPr>
        <w:spacing w:after="0" w:line="240" w:lineRule="auto"/>
      </w:pPr>
      <w:r>
        <w:separator/>
      </w:r>
    </w:p>
  </w:endnote>
  <w:endnote w:type="continuationSeparator" w:id="0">
    <w:p w14:paraId="448EA8F5" w14:textId="77777777" w:rsidR="00CE5E66" w:rsidRDefault="00CE5E66" w:rsidP="007E5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E58B" w14:textId="77777777" w:rsidR="00CE5E66" w:rsidRDefault="00CE5E66" w:rsidP="007E5208">
      <w:pPr>
        <w:spacing w:after="0" w:line="240" w:lineRule="auto"/>
      </w:pPr>
      <w:r>
        <w:separator/>
      </w:r>
    </w:p>
  </w:footnote>
  <w:footnote w:type="continuationSeparator" w:id="0">
    <w:p w14:paraId="411B6E4A" w14:textId="77777777" w:rsidR="00CE5E66" w:rsidRDefault="00CE5E66" w:rsidP="007E5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084791">
    <w:abstractNumId w:val="8"/>
  </w:num>
  <w:num w:numId="2" w16cid:durableId="398986977">
    <w:abstractNumId w:val="6"/>
  </w:num>
  <w:num w:numId="3" w16cid:durableId="2023629273">
    <w:abstractNumId w:val="5"/>
  </w:num>
  <w:num w:numId="4" w16cid:durableId="1391347680">
    <w:abstractNumId w:val="4"/>
  </w:num>
  <w:num w:numId="5" w16cid:durableId="1934434769">
    <w:abstractNumId w:val="7"/>
  </w:num>
  <w:num w:numId="6" w16cid:durableId="1055397690">
    <w:abstractNumId w:val="3"/>
  </w:num>
  <w:num w:numId="7" w16cid:durableId="545022802">
    <w:abstractNumId w:val="2"/>
  </w:num>
  <w:num w:numId="8" w16cid:durableId="1455127354">
    <w:abstractNumId w:val="1"/>
  </w:num>
  <w:num w:numId="9" w16cid:durableId="201792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37D9"/>
    <w:rsid w:val="007E5208"/>
    <w:rsid w:val="008B62BA"/>
    <w:rsid w:val="00AA1D8D"/>
    <w:rsid w:val="00B47730"/>
    <w:rsid w:val="00CB0664"/>
    <w:rsid w:val="00CE5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7CC859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Liping Zhang</cp:lastModifiedBy>
  <cp:revision>2</cp:revision>
  <dcterms:created xsi:type="dcterms:W3CDTF">2013-12-23T23:15:00Z</dcterms:created>
  <dcterms:modified xsi:type="dcterms:W3CDTF">2026-07-20T03:37:00Z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2026-07-20T03:37:07Z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830efec4-236f-48e4-b6df-c969dc4f57f5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</Properties>
</file>