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3594" w14:textId="77777777" w:rsidR="00C41419" w:rsidRPr="004555A0" w:rsidRDefault="00FB4458">
      <w:pPr>
        <w:spacing w:before="160" w:after="120"/>
        <w:rPr>
          <w:color w:val="F79646" w:themeColor="accent6"/>
          <w:lang w:eastAsia="zh-CN"/>
        </w:rPr>
      </w:pPr>
      <w:r w:rsidRPr="004555A0">
        <w:rPr>
          <w:rFonts w:ascii="Arial" w:eastAsia="SimHei" w:hAnsi="Arial"/>
          <w:b/>
          <w:color w:val="F79646" w:themeColor="accent6"/>
          <w:sz w:val="25"/>
          <w:lang w:eastAsia="zh-CN"/>
        </w:rPr>
        <w:t xml:space="preserve">2.1.1  </w:t>
      </w:r>
      <w:r w:rsidRPr="004555A0">
        <w:rPr>
          <w:rFonts w:ascii="Arial" w:eastAsia="SimHei" w:hAnsi="Arial"/>
          <w:b/>
          <w:color w:val="F79646" w:themeColor="accent6"/>
          <w:sz w:val="25"/>
          <w:lang w:eastAsia="zh-CN"/>
        </w:rPr>
        <w:t>宏观经济运行情况</w:t>
      </w:r>
    </w:p>
    <w:p w14:paraId="37CA738A" w14:textId="77777777" w:rsidR="00C41419" w:rsidRPr="004555A0" w:rsidRDefault="00FB4458">
      <w:pPr>
        <w:spacing w:after="80"/>
        <w:ind w:firstLine="480"/>
        <w:rPr>
          <w:color w:val="F79646" w:themeColor="accent6"/>
          <w:lang w:eastAsia="zh-CN"/>
        </w:rPr>
      </w:pPr>
      <w:r w:rsidRPr="004555A0">
        <w:rPr>
          <w:color w:val="F79646" w:themeColor="accent6"/>
          <w:lang w:eastAsia="zh-CN"/>
        </w:rPr>
        <w:t>2026</w:t>
      </w:r>
      <w:r w:rsidRPr="004555A0">
        <w:rPr>
          <w:color w:val="F79646" w:themeColor="accent6"/>
          <w:lang w:eastAsia="zh-CN"/>
        </w:rPr>
        <w:t>年第三季度，国民经济保持平稳恢复节奏。据国家统计局公布，三季度</w:t>
      </w:r>
      <w:r w:rsidRPr="004555A0">
        <w:rPr>
          <w:color w:val="F79646" w:themeColor="accent6"/>
          <w:lang w:eastAsia="zh-CN"/>
        </w:rPr>
        <w:t>GDP</w:t>
      </w:r>
      <w:r w:rsidRPr="004555A0">
        <w:rPr>
          <w:color w:val="F79646" w:themeColor="accent6"/>
          <w:lang w:eastAsia="zh-CN"/>
        </w:rPr>
        <w:t>同比增速</w:t>
      </w:r>
      <w:r w:rsidRPr="004555A0">
        <w:rPr>
          <w:color w:val="F79646" w:themeColor="accent6"/>
          <w:lang w:eastAsia="zh-CN"/>
        </w:rPr>
        <w:t>4.9%</w:t>
      </w:r>
      <w:r w:rsidRPr="004555A0">
        <w:rPr>
          <w:color w:val="F79646" w:themeColor="accent6"/>
          <w:lang w:eastAsia="zh-CN"/>
        </w:rPr>
        <w:t>，环比扩张</w:t>
      </w:r>
      <w:r w:rsidRPr="004555A0">
        <w:rPr>
          <w:color w:val="F79646" w:themeColor="accent6"/>
          <w:lang w:eastAsia="zh-CN"/>
        </w:rPr>
        <w:t>1.1%</w:t>
      </w:r>
      <w:r w:rsidRPr="004555A0">
        <w:rPr>
          <w:color w:val="F79646" w:themeColor="accent6"/>
          <w:lang w:eastAsia="zh-CN"/>
        </w:rPr>
        <w:t>，整体运行于合理区间，内生增长动能逐步蓄积。</w:t>
      </w:r>
    </w:p>
    <w:p w14:paraId="6CBF49E0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三驾马车表现</w:t>
      </w:r>
      <w:proofErr w:type="spellEnd"/>
    </w:p>
    <w:p w14:paraId="018200ED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消费：社会消费品零售总额同比扩张</w:t>
      </w:r>
      <w:r w:rsidRPr="004555A0">
        <w:rPr>
          <w:color w:val="F79646" w:themeColor="accent6"/>
          <w:sz w:val="21"/>
          <w:lang w:eastAsia="zh-CN"/>
        </w:rPr>
        <w:t>4.5%</w:t>
      </w:r>
      <w:r w:rsidRPr="004555A0">
        <w:rPr>
          <w:color w:val="F79646" w:themeColor="accent6"/>
          <w:sz w:val="21"/>
          <w:lang w:eastAsia="zh-CN"/>
        </w:rPr>
        <w:t>，服务类消费回暖势头延续</w:t>
      </w:r>
    </w:p>
    <w:p w14:paraId="736A42F6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投资：固定资产投资同比扩张</w:t>
      </w:r>
      <w:r w:rsidRPr="004555A0">
        <w:rPr>
          <w:color w:val="F79646" w:themeColor="accent6"/>
          <w:sz w:val="21"/>
          <w:lang w:eastAsia="zh-CN"/>
        </w:rPr>
        <w:t>5.1%</w:t>
      </w:r>
      <w:r w:rsidRPr="004555A0">
        <w:rPr>
          <w:color w:val="F79646" w:themeColor="accent6"/>
          <w:sz w:val="21"/>
          <w:lang w:eastAsia="zh-CN"/>
        </w:rPr>
        <w:t>，高技术制造业投资增速居前</w:t>
      </w:r>
    </w:p>
    <w:p w14:paraId="4E97C06B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外贸：货物出口同比扩张</w:t>
      </w:r>
      <w:r w:rsidRPr="004555A0">
        <w:rPr>
          <w:color w:val="F79646" w:themeColor="accent6"/>
          <w:sz w:val="21"/>
          <w:lang w:eastAsia="zh-CN"/>
        </w:rPr>
        <w:t>4.2%</w:t>
      </w:r>
      <w:r w:rsidRPr="004555A0">
        <w:rPr>
          <w:color w:val="F79646" w:themeColor="accent6"/>
          <w:sz w:val="21"/>
          <w:lang w:eastAsia="zh-CN"/>
        </w:rPr>
        <w:t>，对新兴市场出口表现亮眼</w:t>
      </w:r>
    </w:p>
    <w:p w14:paraId="2EBDA137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价格运行</w:t>
      </w:r>
      <w:proofErr w:type="spellEnd"/>
    </w:p>
    <w:p w14:paraId="3BDE7460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CPI</w:t>
      </w:r>
      <w:r w:rsidRPr="004555A0">
        <w:rPr>
          <w:color w:val="F79646" w:themeColor="accent6"/>
          <w:sz w:val="21"/>
          <w:lang w:eastAsia="zh-CN"/>
        </w:rPr>
        <w:t>同比上涨</w:t>
      </w:r>
      <w:r w:rsidRPr="004555A0">
        <w:rPr>
          <w:color w:val="F79646" w:themeColor="accent6"/>
          <w:sz w:val="21"/>
          <w:lang w:eastAsia="zh-CN"/>
        </w:rPr>
        <w:t>1.1%</w:t>
      </w:r>
      <w:r w:rsidRPr="004555A0">
        <w:rPr>
          <w:color w:val="F79646" w:themeColor="accent6"/>
          <w:sz w:val="21"/>
          <w:lang w:eastAsia="zh-CN"/>
        </w:rPr>
        <w:t>，物价中枢温和抬升</w:t>
      </w:r>
    </w:p>
    <w:p w14:paraId="602365F5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PPI</w:t>
      </w:r>
      <w:r w:rsidRPr="004555A0">
        <w:rPr>
          <w:color w:val="F79646" w:themeColor="accent6"/>
          <w:sz w:val="21"/>
          <w:lang w:eastAsia="zh-CN"/>
        </w:rPr>
        <w:t>同比微降</w:t>
      </w:r>
      <w:r w:rsidRPr="004555A0">
        <w:rPr>
          <w:color w:val="F79646" w:themeColor="accent6"/>
          <w:sz w:val="21"/>
          <w:lang w:eastAsia="zh-CN"/>
        </w:rPr>
        <w:t>0.1%</w:t>
      </w:r>
      <w:r w:rsidRPr="004555A0">
        <w:rPr>
          <w:color w:val="F79646" w:themeColor="accent6"/>
          <w:sz w:val="21"/>
          <w:lang w:eastAsia="zh-CN"/>
        </w:rPr>
        <w:t>，工业品价格通缩压力明显缓解</w:t>
      </w:r>
    </w:p>
    <w:p w14:paraId="490B5519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核心</w:t>
      </w:r>
      <w:r w:rsidRPr="004555A0">
        <w:rPr>
          <w:color w:val="F79646" w:themeColor="accent6"/>
          <w:sz w:val="21"/>
          <w:lang w:eastAsia="zh-CN"/>
        </w:rPr>
        <w:t>CPI</w:t>
      </w:r>
      <w:r w:rsidRPr="004555A0">
        <w:rPr>
          <w:color w:val="F79646" w:themeColor="accent6"/>
          <w:sz w:val="21"/>
          <w:lang w:eastAsia="zh-CN"/>
        </w:rPr>
        <w:t>同比上涨</w:t>
      </w:r>
      <w:r w:rsidRPr="004555A0">
        <w:rPr>
          <w:color w:val="F79646" w:themeColor="accent6"/>
          <w:sz w:val="21"/>
          <w:lang w:eastAsia="zh-CN"/>
        </w:rPr>
        <w:t>0.9%</w:t>
      </w:r>
      <w:r w:rsidRPr="004555A0">
        <w:rPr>
          <w:color w:val="F79646" w:themeColor="accent6"/>
          <w:sz w:val="21"/>
          <w:lang w:eastAsia="zh-CN"/>
        </w:rPr>
        <w:t>，终端需求复苏节奏趋于平稳</w:t>
      </w:r>
    </w:p>
    <w:p w14:paraId="52CC8BE7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劳动力市场</w:t>
      </w:r>
      <w:proofErr w:type="spellEnd"/>
    </w:p>
    <w:p w14:paraId="0C20055F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城镇调查失业率均值</w:t>
      </w:r>
      <w:r w:rsidRPr="004555A0">
        <w:rPr>
          <w:color w:val="F79646" w:themeColor="accent6"/>
          <w:sz w:val="21"/>
          <w:lang w:eastAsia="zh-CN"/>
        </w:rPr>
        <w:t>5.0%</w:t>
      </w:r>
      <w:r w:rsidRPr="004555A0">
        <w:rPr>
          <w:color w:val="F79646" w:themeColor="accent6"/>
          <w:sz w:val="21"/>
          <w:lang w:eastAsia="zh-CN"/>
        </w:rPr>
        <w:t>，较二季度回落</w:t>
      </w:r>
      <w:r w:rsidRPr="004555A0">
        <w:rPr>
          <w:color w:val="F79646" w:themeColor="accent6"/>
          <w:sz w:val="21"/>
          <w:lang w:eastAsia="zh-CN"/>
        </w:rPr>
        <w:t>0.1</w:t>
      </w:r>
      <w:r w:rsidRPr="004555A0">
        <w:rPr>
          <w:color w:val="F79646" w:themeColor="accent6"/>
          <w:sz w:val="21"/>
          <w:lang w:eastAsia="zh-CN"/>
        </w:rPr>
        <w:t>个百分点</w:t>
      </w:r>
    </w:p>
    <w:p w14:paraId="437AC8EE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新经济新业态吸纳就业作用增强，灵活就业群体规模稳步扩张</w:t>
      </w:r>
    </w:p>
    <w:p w14:paraId="587B2DDF" w14:textId="77777777" w:rsidR="00C41419" w:rsidRPr="004555A0" w:rsidRDefault="00FB4458">
      <w:pPr>
        <w:spacing w:after="80"/>
        <w:ind w:firstLine="480"/>
        <w:rPr>
          <w:color w:val="F79646" w:themeColor="accent6"/>
          <w:lang w:eastAsia="zh-CN"/>
        </w:rPr>
      </w:pPr>
      <w:r w:rsidRPr="004555A0">
        <w:rPr>
          <w:color w:val="F79646" w:themeColor="accent6"/>
          <w:lang w:eastAsia="zh-CN"/>
        </w:rPr>
        <w:t>整体来看，宏观经济的温和修复为保险消费奠定了基础，居民收入预期改善持续释放保险需求，三季度保险消费信心指数环比上扬</w:t>
      </w:r>
      <w:r w:rsidRPr="004555A0">
        <w:rPr>
          <w:color w:val="F79646" w:themeColor="accent6"/>
          <w:lang w:eastAsia="zh-CN"/>
        </w:rPr>
        <w:t>2.3</w:t>
      </w:r>
      <w:r w:rsidRPr="004555A0">
        <w:rPr>
          <w:color w:val="F79646" w:themeColor="accent6"/>
          <w:lang w:eastAsia="zh-CN"/>
        </w:rPr>
        <w:t>个点。</w:t>
      </w:r>
    </w:p>
    <w:p w14:paraId="35DE160D" w14:textId="77777777" w:rsidR="00056A31" w:rsidRPr="004555A0" w:rsidRDefault="00056A31">
      <w:pPr>
        <w:spacing w:after="80"/>
        <w:ind w:firstLine="480"/>
        <w:rPr>
          <w:color w:val="F79646" w:themeColor="accent6"/>
          <w:lang w:eastAsia="zh-CN"/>
        </w:rPr>
      </w:pPr>
    </w:p>
    <w:p w14:paraId="5878DE09" w14:textId="77777777" w:rsidR="00C41419" w:rsidRPr="004555A0" w:rsidRDefault="00FB4458">
      <w:pPr>
        <w:spacing w:before="240" w:after="120"/>
        <w:rPr>
          <w:color w:val="F79646" w:themeColor="accent6"/>
          <w:lang w:eastAsia="zh-CN"/>
        </w:rPr>
      </w:pPr>
      <w:r w:rsidRPr="004555A0">
        <w:rPr>
          <w:rFonts w:ascii="Arial" w:eastAsia="SimHei" w:hAnsi="Arial"/>
          <w:b/>
          <w:color w:val="F79646" w:themeColor="accent6"/>
          <w:sz w:val="32"/>
          <w:lang w:eastAsia="zh-CN"/>
        </w:rPr>
        <w:t>第一章</w:t>
      </w:r>
      <w:r w:rsidRPr="004555A0">
        <w:rPr>
          <w:rFonts w:ascii="Arial" w:eastAsia="SimHei" w:hAnsi="Arial"/>
          <w:b/>
          <w:color w:val="F79646" w:themeColor="accent6"/>
          <w:sz w:val="32"/>
          <w:lang w:eastAsia="zh-CN"/>
        </w:rPr>
        <w:t xml:space="preserve">  </w:t>
      </w:r>
      <w:r w:rsidRPr="004555A0">
        <w:rPr>
          <w:rFonts w:ascii="Arial" w:eastAsia="SimHei" w:hAnsi="Arial"/>
          <w:b/>
          <w:color w:val="F79646" w:themeColor="accent6"/>
          <w:sz w:val="32"/>
          <w:lang w:eastAsia="zh-CN"/>
        </w:rPr>
        <w:t>报告概述</w:t>
      </w:r>
    </w:p>
    <w:p w14:paraId="2FEAD55D" w14:textId="77777777" w:rsidR="00C41419" w:rsidRPr="004555A0" w:rsidRDefault="00FB4458">
      <w:pPr>
        <w:spacing w:after="80"/>
        <w:ind w:firstLine="480"/>
        <w:rPr>
          <w:color w:val="F79646" w:themeColor="accent6"/>
          <w:lang w:eastAsia="zh-CN"/>
        </w:rPr>
      </w:pPr>
      <w:r w:rsidRPr="004555A0">
        <w:rPr>
          <w:color w:val="F79646" w:themeColor="accent6"/>
          <w:lang w:eastAsia="zh-CN"/>
        </w:rPr>
        <w:t>本期报告聚焦</w:t>
      </w:r>
      <w:r w:rsidRPr="004555A0">
        <w:rPr>
          <w:color w:val="F79646" w:themeColor="accent6"/>
          <w:lang w:eastAsia="zh-CN"/>
        </w:rPr>
        <w:t>2026</w:t>
      </w:r>
      <w:r w:rsidRPr="004555A0">
        <w:rPr>
          <w:color w:val="F79646" w:themeColor="accent6"/>
          <w:lang w:eastAsia="zh-CN"/>
        </w:rPr>
        <w:t>年第三季度中国保险市场的运行情况，围绕宏观环境、保费景气度、产品迭代、渠道演进、风险管控及竞争格局六大维度展开系统性研判。本次调研走访覆盖全国</w:t>
      </w:r>
      <w:r w:rsidRPr="004555A0">
        <w:rPr>
          <w:color w:val="F79646" w:themeColor="accent6"/>
          <w:lang w:eastAsia="zh-CN"/>
        </w:rPr>
        <w:t>31</w:t>
      </w:r>
      <w:r w:rsidRPr="004555A0">
        <w:rPr>
          <w:color w:val="F79646" w:themeColor="accent6"/>
          <w:lang w:eastAsia="zh-CN"/>
        </w:rPr>
        <w:t>个省级行政区的</w:t>
      </w:r>
      <w:r w:rsidRPr="004555A0">
        <w:rPr>
          <w:color w:val="F79646" w:themeColor="accent6"/>
          <w:lang w:eastAsia="zh-CN"/>
        </w:rPr>
        <w:t>158</w:t>
      </w:r>
      <w:r w:rsidRPr="004555A0">
        <w:rPr>
          <w:color w:val="F79646" w:themeColor="accent6"/>
          <w:lang w:eastAsia="zh-CN"/>
        </w:rPr>
        <w:t>家保险机构，回收有效问卷逾</w:t>
      </w:r>
      <w:r w:rsidRPr="004555A0">
        <w:rPr>
          <w:color w:val="F79646" w:themeColor="accent6"/>
          <w:lang w:eastAsia="zh-CN"/>
        </w:rPr>
        <w:t>13,500</w:t>
      </w:r>
      <w:r w:rsidRPr="004555A0">
        <w:rPr>
          <w:color w:val="F79646" w:themeColor="accent6"/>
          <w:lang w:eastAsia="zh-CN"/>
        </w:rPr>
        <w:t>份，力求多角度、立体化地呈现行业最新动态。</w:t>
      </w:r>
    </w:p>
    <w:p w14:paraId="5F081F4F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调研立意与目标</w:t>
      </w:r>
      <w:proofErr w:type="spellEnd"/>
    </w:p>
    <w:p w14:paraId="55A60153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持续追踪保险业季度经营景气度，识别市场结构性拐点</w:t>
      </w:r>
    </w:p>
    <w:p w14:paraId="5C8DAF02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研判宏观与监管环境变化向保险业传导的具体路径</w:t>
      </w:r>
    </w:p>
    <w:p w14:paraId="427FC21C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检验产品端创新与渠道端变革的阶段成效</w:t>
      </w:r>
    </w:p>
    <w:p w14:paraId="3A46729B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为机构经营决策与监管政策完善提供数据依据</w:t>
      </w:r>
    </w:p>
    <w:p w14:paraId="3BA77442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调研边界与方法论</w:t>
      </w:r>
      <w:proofErr w:type="spellEnd"/>
    </w:p>
    <w:p w14:paraId="2223DA8D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信息来源：金融监管部门披露数据、行业协会月报、上市公司财报、一线机构走访访谈</w:t>
      </w:r>
    </w:p>
    <w:p w14:paraId="54840D24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样本构成：人身险公司</w:t>
      </w:r>
      <w:r w:rsidRPr="004555A0">
        <w:rPr>
          <w:color w:val="F79646" w:themeColor="accent6"/>
          <w:sz w:val="21"/>
          <w:lang w:eastAsia="zh-CN"/>
        </w:rPr>
        <w:t>82</w:t>
      </w:r>
      <w:r w:rsidRPr="004555A0">
        <w:rPr>
          <w:color w:val="F79646" w:themeColor="accent6"/>
          <w:sz w:val="21"/>
          <w:lang w:eastAsia="zh-CN"/>
        </w:rPr>
        <w:t>家、财产险公司</w:t>
      </w:r>
      <w:r w:rsidRPr="004555A0">
        <w:rPr>
          <w:color w:val="F79646" w:themeColor="accent6"/>
          <w:sz w:val="21"/>
          <w:lang w:eastAsia="zh-CN"/>
        </w:rPr>
        <w:t>76</w:t>
      </w:r>
      <w:r w:rsidRPr="004555A0">
        <w:rPr>
          <w:color w:val="F79646" w:themeColor="accent6"/>
          <w:sz w:val="21"/>
          <w:lang w:eastAsia="zh-CN"/>
        </w:rPr>
        <w:t>家，覆盖主要业务条线</w:t>
      </w:r>
    </w:p>
    <w:p w14:paraId="68F90793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研究方法：定量统计与定性研判相结合，截面比较与时间序列追踪互为补充</w:t>
      </w:r>
    </w:p>
    <w:p w14:paraId="34A48904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核心结论速览</w:t>
      </w:r>
      <w:proofErr w:type="spellEnd"/>
    </w:p>
    <w:p w14:paraId="27292689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三季度行业原保险保费收入达</w:t>
      </w:r>
      <w:r w:rsidRPr="004555A0">
        <w:rPr>
          <w:color w:val="F79646" w:themeColor="accent6"/>
          <w:sz w:val="21"/>
          <w:lang w:eastAsia="zh-CN"/>
        </w:rPr>
        <w:t>2.35</w:t>
      </w:r>
      <w:r w:rsidRPr="004555A0">
        <w:rPr>
          <w:color w:val="F79646" w:themeColor="accent6"/>
          <w:sz w:val="21"/>
          <w:lang w:eastAsia="zh-CN"/>
        </w:rPr>
        <w:t>万亿元，同比扩张</w:t>
      </w:r>
      <w:r w:rsidRPr="004555A0">
        <w:rPr>
          <w:color w:val="F79646" w:themeColor="accent6"/>
          <w:sz w:val="21"/>
          <w:lang w:eastAsia="zh-CN"/>
        </w:rPr>
        <w:t>7.2%</w:t>
      </w:r>
      <w:r w:rsidRPr="004555A0">
        <w:rPr>
          <w:color w:val="F79646" w:themeColor="accent6"/>
          <w:sz w:val="21"/>
          <w:lang w:eastAsia="zh-CN"/>
        </w:rPr>
        <w:t>，景气度环比小幅改善</w:t>
      </w:r>
    </w:p>
    <w:p w14:paraId="70B82591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线上化进程明显提速，互联网渠道保费份额升至</w:t>
      </w:r>
      <w:r w:rsidRPr="004555A0">
        <w:rPr>
          <w:color w:val="F79646" w:themeColor="accent6"/>
          <w:sz w:val="21"/>
          <w:lang w:eastAsia="zh-CN"/>
        </w:rPr>
        <w:t>22.5%</w:t>
      </w:r>
      <w:r w:rsidRPr="004555A0">
        <w:rPr>
          <w:color w:val="F79646" w:themeColor="accent6"/>
          <w:sz w:val="21"/>
          <w:lang w:eastAsia="zh-CN"/>
        </w:rPr>
        <w:t>，较上季再增</w:t>
      </w:r>
      <w:r w:rsidRPr="004555A0">
        <w:rPr>
          <w:color w:val="F79646" w:themeColor="accent6"/>
          <w:sz w:val="21"/>
          <w:lang w:eastAsia="zh-CN"/>
        </w:rPr>
        <w:t>2.5</w:t>
      </w:r>
      <w:r w:rsidRPr="004555A0">
        <w:rPr>
          <w:color w:val="F79646" w:themeColor="accent6"/>
          <w:sz w:val="21"/>
          <w:lang w:eastAsia="zh-CN"/>
        </w:rPr>
        <w:t>个百分点</w:t>
      </w:r>
    </w:p>
    <w:p w14:paraId="638616AC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lastRenderedPageBreak/>
        <w:t>健康险继续保持双位数增长，同比</w:t>
      </w:r>
      <w:r w:rsidRPr="004555A0">
        <w:rPr>
          <w:color w:val="F79646" w:themeColor="accent6"/>
          <w:sz w:val="21"/>
          <w:lang w:eastAsia="zh-CN"/>
        </w:rPr>
        <w:t>13.8%</w:t>
      </w:r>
      <w:r w:rsidRPr="004555A0">
        <w:rPr>
          <w:color w:val="F79646" w:themeColor="accent6"/>
          <w:sz w:val="21"/>
          <w:lang w:eastAsia="zh-CN"/>
        </w:rPr>
        <w:t>的增速成为人身险板块首要拉动力</w:t>
      </w:r>
    </w:p>
    <w:p w14:paraId="2A20AD03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低利率环境下利差损防控压力未减，定价利率上限维持在</w:t>
      </w:r>
      <w:r w:rsidRPr="004555A0">
        <w:rPr>
          <w:color w:val="F79646" w:themeColor="accent6"/>
          <w:sz w:val="21"/>
          <w:lang w:eastAsia="zh-CN"/>
        </w:rPr>
        <w:t>2.5%</w:t>
      </w:r>
    </w:p>
    <w:p w14:paraId="121690CF" w14:textId="77777777" w:rsidR="00056A31" w:rsidRPr="004555A0" w:rsidRDefault="00FB4458" w:rsidP="00056A31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中小公司差异化竞争成效显现，在若干细分赛道份额稳步抬升</w:t>
      </w:r>
    </w:p>
    <w:p w14:paraId="45201258" w14:textId="77777777" w:rsidR="00056A31" w:rsidRPr="004555A0" w:rsidRDefault="00056A31" w:rsidP="00056A31">
      <w:pPr>
        <w:pStyle w:val="ListBullet"/>
        <w:numPr>
          <w:ilvl w:val="0"/>
          <w:numId w:val="0"/>
        </w:numPr>
        <w:spacing w:after="20"/>
        <w:rPr>
          <w:color w:val="F79646" w:themeColor="accent6"/>
          <w:sz w:val="21"/>
          <w:lang w:eastAsia="zh-CN"/>
        </w:rPr>
      </w:pPr>
    </w:p>
    <w:p w14:paraId="0D5792F8" w14:textId="06BE145E" w:rsidR="00C41419" w:rsidRPr="004555A0" w:rsidRDefault="00FB4458" w:rsidP="00056A31">
      <w:pPr>
        <w:pStyle w:val="ListBullet"/>
        <w:numPr>
          <w:ilvl w:val="0"/>
          <w:numId w:val="0"/>
        </w:numPr>
        <w:spacing w:after="20"/>
        <w:rPr>
          <w:color w:val="F79646" w:themeColor="accent6"/>
          <w:lang w:eastAsia="zh-CN"/>
        </w:rPr>
      </w:pPr>
      <w:r w:rsidRPr="004555A0">
        <w:rPr>
          <w:rFonts w:ascii="Arial" w:eastAsia="SimHei" w:hAnsi="Arial"/>
          <w:b/>
          <w:color w:val="F79646" w:themeColor="accent6"/>
          <w:sz w:val="25"/>
          <w:lang w:eastAsia="zh-CN"/>
        </w:rPr>
        <w:t xml:space="preserve">5.1.1  </w:t>
      </w:r>
      <w:r w:rsidRPr="004555A0">
        <w:rPr>
          <w:rFonts w:ascii="Arial" w:eastAsia="SimHei" w:hAnsi="Arial"/>
          <w:b/>
          <w:color w:val="F79646" w:themeColor="accent6"/>
          <w:sz w:val="25"/>
          <w:lang w:eastAsia="zh-CN"/>
        </w:rPr>
        <w:t>个险渠道分析</w:t>
      </w:r>
    </w:p>
    <w:p w14:paraId="73ADD9C8" w14:textId="77777777" w:rsidR="00C41419" w:rsidRPr="004555A0" w:rsidRDefault="00FB4458">
      <w:pPr>
        <w:spacing w:after="80"/>
        <w:ind w:firstLine="480"/>
        <w:rPr>
          <w:color w:val="F79646" w:themeColor="accent6"/>
          <w:lang w:eastAsia="zh-CN"/>
        </w:rPr>
      </w:pPr>
      <w:r w:rsidRPr="004555A0">
        <w:rPr>
          <w:color w:val="F79646" w:themeColor="accent6"/>
          <w:lang w:eastAsia="zh-CN"/>
        </w:rPr>
        <w:t>个险渠道本季度实现保费收入</w:t>
      </w:r>
      <w:r w:rsidRPr="004555A0">
        <w:rPr>
          <w:color w:val="F79646" w:themeColor="accent6"/>
          <w:lang w:eastAsia="zh-CN"/>
        </w:rPr>
        <w:t>8,500</w:t>
      </w:r>
      <w:r w:rsidRPr="004555A0">
        <w:rPr>
          <w:color w:val="F79646" w:themeColor="accent6"/>
          <w:lang w:eastAsia="zh-CN"/>
        </w:rPr>
        <w:t>亿元，同比增长</w:t>
      </w:r>
      <w:r w:rsidRPr="004555A0">
        <w:rPr>
          <w:color w:val="F79646" w:themeColor="accent6"/>
          <w:lang w:eastAsia="zh-CN"/>
        </w:rPr>
        <w:t>3.8%</w:t>
      </w:r>
      <w:r w:rsidRPr="004555A0">
        <w:rPr>
          <w:color w:val="F79646" w:themeColor="accent6"/>
          <w:lang w:eastAsia="zh-CN"/>
        </w:rPr>
        <w:t>，增速小幅回升。代理人队伍规模企稳，人均产能持续提升。</w:t>
      </w:r>
    </w:p>
    <w:p w14:paraId="6F88B581" w14:textId="77777777" w:rsidR="00C41419" w:rsidRPr="004555A0" w:rsidRDefault="00FB4458">
      <w:pPr>
        <w:spacing w:before="80" w:after="40"/>
        <w:rPr>
          <w:color w:val="F79646" w:themeColor="accent6"/>
          <w:lang w:eastAsia="zh-CN"/>
        </w:rPr>
      </w:pPr>
      <w:r w:rsidRPr="004555A0">
        <w:rPr>
          <w:b/>
          <w:color w:val="F79646" w:themeColor="accent6"/>
          <w:sz w:val="21"/>
          <w:lang w:eastAsia="zh-CN"/>
        </w:rPr>
        <w:t>表</w:t>
      </w:r>
      <w:r w:rsidRPr="004555A0">
        <w:rPr>
          <w:b/>
          <w:color w:val="F79646" w:themeColor="accent6"/>
          <w:sz w:val="21"/>
          <w:lang w:eastAsia="zh-CN"/>
        </w:rPr>
        <w:t>2</w:t>
      </w:r>
      <w:r w:rsidRPr="004555A0">
        <w:rPr>
          <w:b/>
          <w:color w:val="F79646" w:themeColor="accent6"/>
          <w:sz w:val="21"/>
          <w:lang w:eastAsia="zh-CN"/>
        </w:rPr>
        <w:t>：</w:t>
      </w:r>
      <w:r w:rsidRPr="004555A0">
        <w:rPr>
          <w:b/>
          <w:color w:val="F79646" w:themeColor="accent6"/>
          <w:sz w:val="21"/>
          <w:lang w:eastAsia="zh-CN"/>
        </w:rPr>
        <w:t>2026</w:t>
      </w:r>
      <w:r w:rsidRPr="004555A0">
        <w:rPr>
          <w:b/>
          <w:color w:val="F79646" w:themeColor="accent6"/>
          <w:sz w:val="21"/>
          <w:lang w:eastAsia="zh-CN"/>
        </w:rPr>
        <w:t>年</w:t>
      </w:r>
      <w:r w:rsidRPr="004555A0">
        <w:rPr>
          <w:b/>
          <w:color w:val="F79646" w:themeColor="accent6"/>
          <w:sz w:val="21"/>
          <w:lang w:eastAsia="zh-CN"/>
        </w:rPr>
        <w:t>Q3</w:t>
      </w:r>
      <w:r w:rsidRPr="004555A0">
        <w:rPr>
          <w:b/>
          <w:color w:val="F79646" w:themeColor="accent6"/>
          <w:sz w:val="21"/>
          <w:lang w:eastAsia="zh-CN"/>
        </w:rPr>
        <w:t>各销售渠道保费占比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1419" w:rsidRPr="004555A0" w14:paraId="04732807" w14:textId="77777777" w:rsidTr="00C41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A80CC6" w14:textId="77777777" w:rsidR="00C41419" w:rsidRPr="004555A0" w:rsidRDefault="00FB4458">
            <w:pPr>
              <w:jc w:val="center"/>
              <w:rPr>
                <w:color w:val="F79646" w:themeColor="accent6"/>
              </w:rPr>
            </w:pPr>
            <w:proofErr w:type="spellStart"/>
            <w:r w:rsidRPr="004555A0">
              <w:rPr>
                <w:rFonts w:ascii="Arial" w:eastAsia="SimHei" w:hAnsi="Arial"/>
                <w:color w:val="F79646" w:themeColor="accent6"/>
                <w:sz w:val="21"/>
              </w:rPr>
              <w:t>渠道类型</w:t>
            </w:r>
            <w:proofErr w:type="spellEnd"/>
          </w:p>
        </w:tc>
        <w:tc>
          <w:tcPr>
            <w:tcW w:w="2160" w:type="dxa"/>
          </w:tcPr>
          <w:p w14:paraId="4BFEEBF5" w14:textId="77777777" w:rsidR="00C41419" w:rsidRPr="004555A0" w:rsidRDefault="00FB4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rFonts w:ascii="Arial" w:eastAsia="SimHei" w:hAnsi="Arial"/>
                <w:color w:val="F79646" w:themeColor="accent6"/>
                <w:sz w:val="21"/>
              </w:rPr>
              <w:t>保费收入</w:t>
            </w:r>
            <w:r w:rsidRPr="004555A0">
              <w:rPr>
                <w:rFonts w:ascii="Arial" w:eastAsia="SimHei" w:hAnsi="Arial"/>
                <w:color w:val="F79646" w:themeColor="accent6"/>
                <w:sz w:val="21"/>
              </w:rPr>
              <w:t>(</w:t>
            </w:r>
            <w:r w:rsidRPr="004555A0">
              <w:rPr>
                <w:rFonts w:ascii="Arial" w:eastAsia="SimHei" w:hAnsi="Arial"/>
                <w:color w:val="F79646" w:themeColor="accent6"/>
                <w:sz w:val="21"/>
              </w:rPr>
              <w:t>亿元</w:t>
            </w:r>
            <w:r w:rsidRPr="004555A0">
              <w:rPr>
                <w:rFonts w:ascii="Arial" w:eastAsia="SimHei" w:hAnsi="Arial"/>
                <w:color w:val="F79646" w:themeColor="accent6"/>
                <w:sz w:val="21"/>
              </w:rPr>
              <w:t>)</w:t>
            </w:r>
          </w:p>
        </w:tc>
        <w:tc>
          <w:tcPr>
            <w:tcW w:w="2160" w:type="dxa"/>
          </w:tcPr>
          <w:p w14:paraId="0DAF02A7" w14:textId="77777777" w:rsidR="00C41419" w:rsidRPr="004555A0" w:rsidRDefault="00FB4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rFonts w:ascii="Arial" w:eastAsia="SimHei" w:hAnsi="Arial"/>
                <w:color w:val="F79646" w:themeColor="accent6"/>
                <w:sz w:val="21"/>
              </w:rPr>
              <w:t>占比</w:t>
            </w:r>
          </w:p>
        </w:tc>
        <w:tc>
          <w:tcPr>
            <w:tcW w:w="2160" w:type="dxa"/>
          </w:tcPr>
          <w:p w14:paraId="0E0582AF" w14:textId="77777777" w:rsidR="00C41419" w:rsidRPr="004555A0" w:rsidRDefault="00FB44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rFonts w:ascii="Arial" w:eastAsia="SimHei" w:hAnsi="Arial"/>
                <w:color w:val="F79646" w:themeColor="accent6"/>
                <w:sz w:val="21"/>
              </w:rPr>
              <w:t>同比变化</w:t>
            </w:r>
          </w:p>
        </w:tc>
      </w:tr>
      <w:tr w:rsidR="00C41419" w:rsidRPr="004555A0" w14:paraId="11AC0DD4" w14:textId="77777777" w:rsidTr="00C4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D34DB6" w14:textId="77777777" w:rsidR="00C41419" w:rsidRPr="004555A0" w:rsidRDefault="00FB4458">
            <w:pPr>
              <w:jc w:val="center"/>
              <w:rPr>
                <w:color w:val="F79646" w:themeColor="accent6"/>
              </w:rPr>
            </w:pPr>
            <w:r w:rsidRPr="004555A0">
              <w:rPr>
                <w:b w:val="0"/>
                <w:color w:val="F79646" w:themeColor="accent6"/>
                <w:sz w:val="21"/>
              </w:rPr>
              <w:t>个险渠道</w:t>
            </w:r>
          </w:p>
        </w:tc>
        <w:tc>
          <w:tcPr>
            <w:tcW w:w="2160" w:type="dxa"/>
          </w:tcPr>
          <w:p w14:paraId="55592FA9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8,500</w:t>
            </w:r>
          </w:p>
        </w:tc>
        <w:tc>
          <w:tcPr>
            <w:tcW w:w="2160" w:type="dxa"/>
          </w:tcPr>
          <w:p w14:paraId="5986397D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36.2%</w:t>
            </w:r>
          </w:p>
        </w:tc>
        <w:tc>
          <w:tcPr>
            <w:tcW w:w="2160" w:type="dxa"/>
          </w:tcPr>
          <w:p w14:paraId="0D585B1D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-1.4pp</w:t>
            </w:r>
          </w:p>
        </w:tc>
      </w:tr>
      <w:tr w:rsidR="00C41419" w:rsidRPr="004555A0" w14:paraId="76432B3F" w14:textId="77777777" w:rsidTr="00C414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9B2A87" w14:textId="77777777" w:rsidR="00C41419" w:rsidRPr="004555A0" w:rsidRDefault="00FB4458">
            <w:pPr>
              <w:jc w:val="center"/>
              <w:rPr>
                <w:color w:val="F79646" w:themeColor="accent6"/>
              </w:rPr>
            </w:pPr>
            <w:r w:rsidRPr="004555A0">
              <w:rPr>
                <w:b w:val="0"/>
                <w:color w:val="F79646" w:themeColor="accent6"/>
                <w:sz w:val="21"/>
              </w:rPr>
              <w:t>银保渠道</w:t>
            </w:r>
          </w:p>
        </w:tc>
        <w:tc>
          <w:tcPr>
            <w:tcW w:w="2160" w:type="dxa"/>
          </w:tcPr>
          <w:p w14:paraId="2BBB2C79" w14:textId="77777777" w:rsidR="00C41419" w:rsidRPr="004555A0" w:rsidRDefault="00FB44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6,900</w:t>
            </w:r>
          </w:p>
        </w:tc>
        <w:tc>
          <w:tcPr>
            <w:tcW w:w="2160" w:type="dxa"/>
          </w:tcPr>
          <w:p w14:paraId="46A5F6F9" w14:textId="77777777" w:rsidR="00C41419" w:rsidRPr="004555A0" w:rsidRDefault="00FB44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29.4%</w:t>
            </w:r>
          </w:p>
        </w:tc>
        <w:tc>
          <w:tcPr>
            <w:tcW w:w="2160" w:type="dxa"/>
          </w:tcPr>
          <w:p w14:paraId="68008034" w14:textId="77777777" w:rsidR="00C41419" w:rsidRPr="004555A0" w:rsidRDefault="00FB44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+0.8pp</w:t>
            </w:r>
          </w:p>
        </w:tc>
      </w:tr>
      <w:tr w:rsidR="00C41419" w:rsidRPr="004555A0" w14:paraId="38A55731" w14:textId="77777777" w:rsidTr="00C4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DF005C" w14:textId="77777777" w:rsidR="00C41419" w:rsidRPr="004555A0" w:rsidRDefault="00FB4458">
            <w:pPr>
              <w:jc w:val="center"/>
              <w:rPr>
                <w:color w:val="F79646" w:themeColor="accent6"/>
              </w:rPr>
            </w:pPr>
            <w:r w:rsidRPr="004555A0">
              <w:rPr>
                <w:b w:val="0"/>
                <w:color w:val="F79646" w:themeColor="accent6"/>
                <w:sz w:val="21"/>
              </w:rPr>
              <w:t>互联网渠道</w:t>
            </w:r>
          </w:p>
        </w:tc>
        <w:tc>
          <w:tcPr>
            <w:tcW w:w="2160" w:type="dxa"/>
          </w:tcPr>
          <w:p w14:paraId="4B1D6F43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4,850</w:t>
            </w:r>
          </w:p>
        </w:tc>
        <w:tc>
          <w:tcPr>
            <w:tcW w:w="2160" w:type="dxa"/>
          </w:tcPr>
          <w:p w14:paraId="43422CC4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20.6%</w:t>
            </w:r>
          </w:p>
        </w:tc>
        <w:tc>
          <w:tcPr>
            <w:tcW w:w="2160" w:type="dxa"/>
          </w:tcPr>
          <w:p w14:paraId="5CBC235C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+2.5pp</w:t>
            </w:r>
          </w:p>
        </w:tc>
      </w:tr>
      <w:tr w:rsidR="00C41419" w:rsidRPr="004555A0" w14:paraId="00E301DF" w14:textId="77777777" w:rsidTr="00C4141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0EB351" w14:textId="77777777" w:rsidR="00C41419" w:rsidRPr="004555A0" w:rsidRDefault="00FB4458">
            <w:pPr>
              <w:jc w:val="center"/>
              <w:rPr>
                <w:color w:val="F79646" w:themeColor="accent6"/>
              </w:rPr>
            </w:pPr>
            <w:r w:rsidRPr="004555A0">
              <w:rPr>
                <w:b w:val="0"/>
                <w:color w:val="F79646" w:themeColor="accent6"/>
                <w:sz w:val="21"/>
              </w:rPr>
              <w:t>专业代理</w:t>
            </w:r>
          </w:p>
        </w:tc>
        <w:tc>
          <w:tcPr>
            <w:tcW w:w="2160" w:type="dxa"/>
          </w:tcPr>
          <w:p w14:paraId="6101ECF6" w14:textId="77777777" w:rsidR="00C41419" w:rsidRPr="004555A0" w:rsidRDefault="00FB44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1,760</w:t>
            </w:r>
          </w:p>
        </w:tc>
        <w:tc>
          <w:tcPr>
            <w:tcW w:w="2160" w:type="dxa"/>
          </w:tcPr>
          <w:p w14:paraId="21EC7E99" w14:textId="77777777" w:rsidR="00C41419" w:rsidRPr="004555A0" w:rsidRDefault="00FB44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7.5%</w:t>
            </w:r>
          </w:p>
        </w:tc>
        <w:tc>
          <w:tcPr>
            <w:tcW w:w="2160" w:type="dxa"/>
          </w:tcPr>
          <w:p w14:paraId="08C17646" w14:textId="77777777" w:rsidR="00C41419" w:rsidRPr="004555A0" w:rsidRDefault="00FB44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-0.5pp</w:t>
            </w:r>
          </w:p>
        </w:tc>
      </w:tr>
      <w:tr w:rsidR="00C41419" w:rsidRPr="004555A0" w14:paraId="61E8B658" w14:textId="77777777" w:rsidTr="00C4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CB8275" w14:textId="77777777" w:rsidR="00C41419" w:rsidRPr="004555A0" w:rsidRDefault="00FB4458">
            <w:pPr>
              <w:jc w:val="center"/>
              <w:rPr>
                <w:color w:val="F79646" w:themeColor="accent6"/>
              </w:rPr>
            </w:pPr>
            <w:r w:rsidRPr="004555A0">
              <w:rPr>
                <w:b w:val="0"/>
                <w:color w:val="F79646" w:themeColor="accent6"/>
                <w:sz w:val="21"/>
              </w:rPr>
              <w:t>经纪渠道</w:t>
            </w:r>
          </w:p>
        </w:tc>
        <w:tc>
          <w:tcPr>
            <w:tcW w:w="2160" w:type="dxa"/>
          </w:tcPr>
          <w:p w14:paraId="5D58900E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1,490</w:t>
            </w:r>
          </w:p>
        </w:tc>
        <w:tc>
          <w:tcPr>
            <w:tcW w:w="2160" w:type="dxa"/>
          </w:tcPr>
          <w:p w14:paraId="299B4E5A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6.3%</w:t>
            </w:r>
          </w:p>
        </w:tc>
        <w:tc>
          <w:tcPr>
            <w:tcW w:w="2160" w:type="dxa"/>
          </w:tcPr>
          <w:p w14:paraId="4619AC03" w14:textId="77777777" w:rsidR="00C41419" w:rsidRPr="004555A0" w:rsidRDefault="00FB4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1"/>
              </w:rPr>
              <w:t>+0.4pp</w:t>
            </w:r>
          </w:p>
        </w:tc>
      </w:tr>
    </w:tbl>
    <w:p w14:paraId="37A84435" w14:textId="77777777" w:rsidR="00C41419" w:rsidRPr="004555A0" w:rsidRDefault="00C41419">
      <w:pPr>
        <w:spacing w:after="80"/>
        <w:rPr>
          <w:color w:val="F79646" w:themeColor="accent6"/>
        </w:rPr>
      </w:pPr>
    </w:p>
    <w:p w14:paraId="4D4D70DB" w14:textId="77777777" w:rsidR="00C41419" w:rsidRPr="004555A0" w:rsidRDefault="00FB4458">
      <w:pPr>
        <w:spacing w:before="120" w:after="40"/>
        <w:rPr>
          <w:color w:val="F79646" w:themeColor="accent6"/>
        </w:rPr>
      </w:pPr>
      <w:r w:rsidRPr="004555A0">
        <w:rPr>
          <w:b/>
          <w:color w:val="F79646" w:themeColor="accent6"/>
        </w:rPr>
        <w:t>代理人队伍演变</w:t>
      </w:r>
    </w:p>
    <w:p w14:paraId="2EEF65F7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全行业个险代理人规模降至</w:t>
      </w:r>
      <w:r w:rsidRPr="004555A0">
        <w:rPr>
          <w:color w:val="F79646" w:themeColor="accent6"/>
          <w:sz w:val="21"/>
          <w:lang w:eastAsia="zh-CN"/>
        </w:rPr>
        <w:t>278</w:t>
      </w:r>
      <w:r w:rsidRPr="004555A0">
        <w:rPr>
          <w:color w:val="F79646" w:themeColor="accent6"/>
          <w:sz w:val="21"/>
          <w:lang w:eastAsia="zh-CN"/>
        </w:rPr>
        <w:t>万人，较年初减少</w:t>
      </w:r>
      <w:r w:rsidRPr="004555A0">
        <w:rPr>
          <w:color w:val="F79646" w:themeColor="accent6"/>
          <w:sz w:val="21"/>
          <w:lang w:eastAsia="zh-CN"/>
        </w:rPr>
        <w:t>7</w:t>
      </w:r>
      <w:r w:rsidRPr="004555A0">
        <w:rPr>
          <w:color w:val="F79646" w:themeColor="accent6"/>
          <w:sz w:val="21"/>
          <w:lang w:eastAsia="zh-CN"/>
        </w:rPr>
        <w:t>万人，降幅收窄</w:t>
      </w:r>
    </w:p>
    <w:p w14:paraId="3127777E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代理人月均产能提升至</w:t>
      </w:r>
      <w:r w:rsidRPr="004555A0">
        <w:rPr>
          <w:color w:val="F79646" w:themeColor="accent6"/>
          <w:sz w:val="21"/>
          <w:lang w:eastAsia="zh-CN"/>
        </w:rPr>
        <w:t>9,200</w:t>
      </w:r>
      <w:r w:rsidRPr="004555A0">
        <w:rPr>
          <w:color w:val="F79646" w:themeColor="accent6"/>
          <w:sz w:val="21"/>
          <w:lang w:eastAsia="zh-CN"/>
        </w:rPr>
        <w:t>元，同比增长</w:t>
      </w:r>
      <w:r w:rsidRPr="004555A0">
        <w:rPr>
          <w:color w:val="F79646" w:themeColor="accent6"/>
          <w:sz w:val="21"/>
          <w:lang w:eastAsia="zh-CN"/>
        </w:rPr>
        <w:t>18%</w:t>
      </w:r>
    </w:p>
    <w:p w14:paraId="521FF08B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活跃代理人占比升至</w:t>
      </w:r>
      <w:r w:rsidRPr="004555A0">
        <w:rPr>
          <w:color w:val="F79646" w:themeColor="accent6"/>
          <w:sz w:val="21"/>
          <w:lang w:eastAsia="zh-CN"/>
        </w:rPr>
        <w:t>65%</w:t>
      </w:r>
      <w:r w:rsidRPr="004555A0">
        <w:rPr>
          <w:color w:val="F79646" w:themeColor="accent6"/>
          <w:sz w:val="21"/>
          <w:lang w:eastAsia="zh-CN"/>
        </w:rPr>
        <w:t>，队伍质态持续改善</w:t>
      </w:r>
    </w:p>
    <w:p w14:paraId="2E5BE12F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渠道转型方向</w:t>
      </w:r>
      <w:proofErr w:type="spellEnd"/>
    </w:p>
    <w:p w14:paraId="15DA9601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优增优育策略深化推进，高产能代理人占比升至</w:t>
      </w:r>
      <w:r w:rsidRPr="004555A0">
        <w:rPr>
          <w:color w:val="F79646" w:themeColor="accent6"/>
          <w:sz w:val="21"/>
          <w:lang w:eastAsia="zh-CN"/>
        </w:rPr>
        <w:t>25%</w:t>
      </w:r>
    </w:p>
    <w:p w14:paraId="7DB9543D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独立代理人模式试点扩至</w:t>
      </w:r>
      <w:r w:rsidRPr="004555A0">
        <w:rPr>
          <w:color w:val="F79646" w:themeColor="accent6"/>
          <w:sz w:val="21"/>
          <w:lang w:eastAsia="zh-CN"/>
        </w:rPr>
        <w:t>15</w:t>
      </w:r>
      <w:r w:rsidRPr="004555A0">
        <w:rPr>
          <w:color w:val="F79646" w:themeColor="accent6"/>
          <w:sz w:val="21"/>
          <w:lang w:eastAsia="zh-CN"/>
        </w:rPr>
        <w:t>个城市</w:t>
      </w:r>
    </w:p>
    <w:p w14:paraId="49E1AAFC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代理人数字化赋能系统覆盖率超过</w:t>
      </w:r>
      <w:r w:rsidRPr="004555A0">
        <w:rPr>
          <w:color w:val="F79646" w:themeColor="accent6"/>
          <w:sz w:val="21"/>
          <w:lang w:eastAsia="zh-CN"/>
        </w:rPr>
        <w:t>85%</w:t>
      </w:r>
    </w:p>
    <w:p w14:paraId="33C26E9D" w14:textId="77777777" w:rsidR="00056A31" w:rsidRPr="004555A0" w:rsidRDefault="00056A31">
      <w:pPr>
        <w:spacing w:before="160" w:after="120"/>
        <w:rPr>
          <w:color w:val="F79646" w:themeColor="accent6"/>
          <w:sz w:val="18"/>
          <w:lang w:eastAsia="zh-CN"/>
        </w:rPr>
      </w:pPr>
    </w:p>
    <w:p w14:paraId="1A8FCE92" w14:textId="77777777" w:rsidR="00056A31" w:rsidRPr="004555A0" w:rsidRDefault="00056A31">
      <w:pPr>
        <w:spacing w:before="160" w:after="120"/>
        <w:rPr>
          <w:color w:val="F79646" w:themeColor="accent6"/>
          <w:sz w:val="18"/>
          <w:lang w:eastAsia="zh-CN"/>
        </w:rPr>
      </w:pPr>
    </w:p>
    <w:p w14:paraId="7357A0CE" w14:textId="451A3C80" w:rsidR="00C41419" w:rsidRPr="004555A0" w:rsidRDefault="00FB4458">
      <w:pPr>
        <w:spacing w:before="160" w:after="120"/>
        <w:rPr>
          <w:color w:val="F79646" w:themeColor="accent6"/>
          <w:lang w:eastAsia="zh-CN"/>
        </w:rPr>
      </w:pPr>
      <w:r w:rsidRPr="004555A0">
        <w:rPr>
          <w:rFonts w:ascii="Arial" w:eastAsia="SimHei" w:hAnsi="Arial"/>
          <w:b/>
          <w:color w:val="F79646" w:themeColor="accent6"/>
          <w:sz w:val="25"/>
          <w:lang w:eastAsia="zh-CN"/>
        </w:rPr>
        <w:t xml:space="preserve">3.1.1  </w:t>
      </w:r>
      <w:r w:rsidRPr="004555A0">
        <w:rPr>
          <w:rFonts w:ascii="Arial" w:eastAsia="SimHei" w:hAnsi="Arial"/>
          <w:b/>
          <w:color w:val="F79646" w:themeColor="accent6"/>
          <w:sz w:val="25"/>
          <w:lang w:eastAsia="zh-CN"/>
        </w:rPr>
        <w:t>原保险保费收入</w:t>
      </w:r>
    </w:p>
    <w:p w14:paraId="03C0F873" w14:textId="77777777" w:rsidR="00C41419" w:rsidRPr="004555A0" w:rsidRDefault="00FB4458">
      <w:pPr>
        <w:spacing w:after="80"/>
        <w:ind w:firstLine="480"/>
        <w:rPr>
          <w:color w:val="F79646" w:themeColor="accent6"/>
          <w:lang w:eastAsia="zh-CN"/>
        </w:rPr>
      </w:pPr>
      <w:r w:rsidRPr="004555A0">
        <w:rPr>
          <w:color w:val="F79646" w:themeColor="accent6"/>
          <w:lang w:eastAsia="zh-CN"/>
        </w:rPr>
        <w:t>三季度，全行业实现原保险保费收入</w:t>
      </w:r>
      <w:r w:rsidRPr="004555A0">
        <w:rPr>
          <w:color w:val="F79646" w:themeColor="accent6"/>
          <w:lang w:eastAsia="zh-CN"/>
        </w:rPr>
        <w:t>2.35</w:t>
      </w:r>
      <w:r w:rsidRPr="004555A0">
        <w:rPr>
          <w:color w:val="F79646" w:themeColor="accent6"/>
          <w:lang w:eastAsia="zh-CN"/>
        </w:rPr>
        <w:t>万亿元，同比增长</w:t>
      </w:r>
      <w:r w:rsidRPr="004555A0">
        <w:rPr>
          <w:color w:val="F79646" w:themeColor="accent6"/>
          <w:lang w:eastAsia="zh-CN"/>
        </w:rPr>
        <w:t>7.2%</w:t>
      </w:r>
      <w:r w:rsidRPr="004555A0">
        <w:rPr>
          <w:color w:val="F79646" w:themeColor="accent6"/>
          <w:lang w:eastAsia="zh-CN"/>
        </w:rPr>
        <w:t>。其中，人身险公司贡献</w:t>
      </w:r>
      <w:r w:rsidRPr="004555A0">
        <w:rPr>
          <w:color w:val="F79646" w:themeColor="accent6"/>
          <w:lang w:eastAsia="zh-CN"/>
        </w:rPr>
        <w:t>1.82</w:t>
      </w:r>
      <w:r w:rsidRPr="004555A0">
        <w:rPr>
          <w:color w:val="F79646" w:themeColor="accent6"/>
          <w:lang w:eastAsia="zh-CN"/>
        </w:rPr>
        <w:t>万亿元，同比增长</w:t>
      </w:r>
      <w:r w:rsidRPr="004555A0">
        <w:rPr>
          <w:color w:val="F79646" w:themeColor="accent6"/>
          <w:lang w:eastAsia="zh-CN"/>
        </w:rPr>
        <w:t>7.6%</w:t>
      </w:r>
      <w:r w:rsidRPr="004555A0">
        <w:rPr>
          <w:color w:val="F79646" w:themeColor="accent6"/>
          <w:lang w:eastAsia="zh-CN"/>
        </w:rPr>
        <w:t>；财产险公司贡献</w:t>
      </w:r>
      <w:r w:rsidRPr="004555A0">
        <w:rPr>
          <w:color w:val="F79646" w:themeColor="accent6"/>
          <w:lang w:eastAsia="zh-CN"/>
        </w:rPr>
        <w:t>5,350</w:t>
      </w:r>
      <w:r w:rsidRPr="004555A0">
        <w:rPr>
          <w:color w:val="F79646" w:themeColor="accent6"/>
          <w:lang w:eastAsia="zh-CN"/>
        </w:rPr>
        <w:t>亿元，同比增长</w:t>
      </w:r>
      <w:r w:rsidRPr="004555A0">
        <w:rPr>
          <w:color w:val="F79646" w:themeColor="accent6"/>
          <w:lang w:eastAsia="zh-CN"/>
        </w:rPr>
        <w:t>6.0%</w:t>
      </w:r>
      <w:r w:rsidRPr="004555A0">
        <w:rPr>
          <w:color w:val="F79646" w:themeColor="accent6"/>
          <w:lang w:eastAsia="zh-CN"/>
        </w:rPr>
        <w:t>。</w:t>
      </w:r>
    </w:p>
    <w:p w14:paraId="1D07FFC3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月度节奏</w:t>
      </w:r>
      <w:proofErr w:type="spellEnd"/>
    </w:p>
    <w:p w14:paraId="56EBA737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7</w:t>
      </w:r>
      <w:r w:rsidRPr="004555A0">
        <w:rPr>
          <w:color w:val="F79646" w:themeColor="accent6"/>
          <w:sz w:val="21"/>
          <w:lang w:eastAsia="zh-CN"/>
        </w:rPr>
        <w:t>月保费收入</w:t>
      </w:r>
      <w:r w:rsidRPr="004555A0">
        <w:rPr>
          <w:color w:val="F79646" w:themeColor="accent6"/>
          <w:sz w:val="21"/>
          <w:lang w:eastAsia="zh-CN"/>
        </w:rPr>
        <w:t>7,600</w:t>
      </w:r>
      <w:r w:rsidRPr="004555A0">
        <w:rPr>
          <w:color w:val="F79646" w:themeColor="accent6"/>
          <w:sz w:val="21"/>
          <w:lang w:eastAsia="zh-CN"/>
        </w:rPr>
        <w:t>亿元，季度初平稳起步，环比扩张</w:t>
      </w:r>
      <w:r w:rsidRPr="004555A0">
        <w:rPr>
          <w:color w:val="F79646" w:themeColor="accent6"/>
          <w:sz w:val="21"/>
          <w:lang w:eastAsia="zh-CN"/>
        </w:rPr>
        <w:t>2.6%</w:t>
      </w:r>
    </w:p>
    <w:p w14:paraId="297ADED8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8</w:t>
      </w:r>
      <w:r w:rsidRPr="004555A0">
        <w:rPr>
          <w:color w:val="F79646" w:themeColor="accent6"/>
          <w:sz w:val="21"/>
          <w:lang w:eastAsia="zh-CN"/>
        </w:rPr>
        <w:t>月保费收入</w:t>
      </w:r>
      <w:r w:rsidRPr="004555A0">
        <w:rPr>
          <w:color w:val="F79646" w:themeColor="accent6"/>
          <w:sz w:val="21"/>
          <w:lang w:eastAsia="zh-CN"/>
        </w:rPr>
        <w:t>7,900</w:t>
      </w:r>
      <w:r w:rsidRPr="004555A0">
        <w:rPr>
          <w:color w:val="F79646" w:themeColor="accent6"/>
          <w:sz w:val="21"/>
          <w:lang w:eastAsia="zh-CN"/>
        </w:rPr>
        <w:t>亿元，健康险与养老险构成主要增量</w:t>
      </w:r>
    </w:p>
    <w:p w14:paraId="69C3D397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9</w:t>
      </w:r>
      <w:r w:rsidRPr="004555A0">
        <w:rPr>
          <w:color w:val="F79646" w:themeColor="accent6"/>
          <w:sz w:val="21"/>
          <w:lang w:eastAsia="zh-CN"/>
        </w:rPr>
        <w:t>月保费收入</w:t>
      </w:r>
      <w:r w:rsidRPr="004555A0">
        <w:rPr>
          <w:color w:val="F79646" w:themeColor="accent6"/>
          <w:sz w:val="21"/>
          <w:lang w:eastAsia="zh-CN"/>
        </w:rPr>
        <w:t>8,000</w:t>
      </w:r>
      <w:r w:rsidRPr="004555A0">
        <w:rPr>
          <w:color w:val="F79646" w:themeColor="accent6"/>
          <w:sz w:val="21"/>
          <w:lang w:eastAsia="zh-CN"/>
        </w:rPr>
        <w:t>亿元，季末冲量效应显现，银保渠道集中发力</w:t>
      </w:r>
    </w:p>
    <w:p w14:paraId="189940DE" w14:textId="77777777" w:rsidR="00C41419" w:rsidRPr="004555A0" w:rsidRDefault="00FB4458">
      <w:pPr>
        <w:jc w:val="center"/>
        <w:rPr>
          <w:color w:val="F79646" w:themeColor="accent6"/>
        </w:rPr>
      </w:pPr>
      <w:r w:rsidRPr="004555A0">
        <w:rPr>
          <w:noProof/>
          <w:color w:val="F79646" w:themeColor="accent6"/>
        </w:rPr>
        <w:lastRenderedPageBreak/>
        <w:drawing>
          <wp:inline distT="0" distB="0" distL="0" distR="0" wp14:anchorId="2195CECA" wp14:editId="0B2AEA70">
            <wp:extent cx="4754880" cy="264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保费收入趋势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4589" w14:textId="77777777" w:rsidR="00C41419" w:rsidRPr="004555A0" w:rsidRDefault="00FB4458">
      <w:pPr>
        <w:spacing w:after="160"/>
        <w:jc w:val="center"/>
        <w:rPr>
          <w:color w:val="F79646" w:themeColor="accent6"/>
          <w:lang w:eastAsia="zh-CN"/>
        </w:rPr>
      </w:pPr>
      <w:r w:rsidRPr="004555A0">
        <w:rPr>
          <w:i/>
          <w:color w:val="F79646" w:themeColor="accent6"/>
          <w:sz w:val="19"/>
          <w:lang w:eastAsia="zh-CN"/>
        </w:rPr>
        <w:t>图</w:t>
      </w:r>
      <w:r w:rsidRPr="004555A0">
        <w:rPr>
          <w:i/>
          <w:color w:val="F79646" w:themeColor="accent6"/>
          <w:sz w:val="19"/>
          <w:lang w:eastAsia="zh-CN"/>
        </w:rPr>
        <w:t>1</w:t>
      </w:r>
      <w:r w:rsidRPr="004555A0">
        <w:rPr>
          <w:i/>
          <w:color w:val="F79646" w:themeColor="accent6"/>
          <w:sz w:val="19"/>
          <w:lang w:eastAsia="zh-CN"/>
        </w:rPr>
        <w:t>：</w:t>
      </w:r>
      <w:r w:rsidRPr="004555A0">
        <w:rPr>
          <w:i/>
          <w:color w:val="F79646" w:themeColor="accent6"/>
          <w:sz w:val="19"/>
          <w:lang w:eastAsia="zh-CN"/>
        </w:rPr>
        <w:t>2024-2026</w:t>
      </w:r>
      <w:r w:rsidRPr="004555A0">
        <w:rPr>
          <w:i/>
          <w:color w:val="F79646" w:themeColor="accent6"/>
          <w:sz w:val="19"/>
          <w:lang w:eastAsia="zh-CN"/>
        </w:rPr>
        <w:t>年季度保费收入趋势</w:t>
      </w:r>
    </w:p>
    <w:p w14:paraId="042A7E27" w14:textId="77777777" w:rsidR="00C41419" w:rsidRPr="004555A0" w:rsidRDefault="00FB4458">
      <w:pPr>
        <w:spacing w:before="120" w:after="40"/>
        <w:rPr>
          <w:color w:val="F79646" w:themeColor="accent6"/>
        </w:rPr>
      </w:pPr>
      <w:proofErr w:type="spellStart"/>
      <w:r w:rsidRPr="004555A0">
        <w:rPr>
          <w:b/>
          <w:color w:val="F79646" w:themeColor="accent6"/>
        </w:rPr>
        <w:t>业务结构特征</w:t>
      </w:r>
      <w:proofErr w:type="spellEnd"/>
    </w:p>
    <w:p w14:paraId="6D36486D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新单保费占比</w:t>
      </w:r>
      <w:r w:rsidRPr="004555A0">
        <w:rPr>
          <w:color w:val="F79646" w:themeColor="accent6"/>
          <w:sz w:val="21"/>
          <w:lang w:eastAsia="zh-CN"/>
        </w:rPr>
        <w:t>39.2%</w:t>
      </w:r>
      <w:r w:rsidRPr="004555A0">
        <w:rPr>
          <w:color w:val="F79646" w:themeColor="accent6"/>
          <w:sz w:val="21"/>
          <w:lang w:eastAsia="zh-CN"/>
        </w:rPr>
        <w:t>，较二季度回升</w:t>
      </w:r>
      <w:r w:rsidRPr="004555A0">
        <w:rPr>
          <w:color w:val="F79646" w:themeColor="accent6"/>
          <w:sz w:val="21"/>
          <w:lang w:eastAsia="zh-CN"/>
        </w:rPr>
        <w:t>0.7</w:t>
      </w:r>
      <w:r w:rsidRPr="004555A0">
        <w:rPr>
          <w:color w:val="F79646" w:themeColor="accent6"/>
          <w:sz w:val="21"/>
          <w:lang w:eastAsia="zh-CN"/>
        </w:rPr>
        <w:t>个百分点</w:t>
      </w:r>
    </w:p>
    <w:p w14:paraId="56856885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续期保费占比</w:t>
      </w:r>
      <w:r w:rsidRPr="004555A0">
        <w:rPr>
          <w:color w:val="F79646" w:themeColor="accent6"/>
          <w:sz w:val="21"/>
          <w:lang w:eastAsia="zh-CN"/>
        </w:rPr>
        <w:t>60.8%</w:t>
      </w:r>
      <w:r w:rsidRPr="004555A0">
        <w:rPr>
          <w:color w:val="F79646" w:themeColor="accent6"/>
          <w:sz w:val="21"/>
          <w:lang w:eastAsia="zh-CN"/>
        </w:rPr>
        <w:t>，业务基本盘保持稳健</w:t>
      </w:r>
    </w:p>
    <w:p w14:paraId="570797F2" w14:textId="77777777" w:rsidR="00C41419" w:rsidRPr="004555A0" w:rsidRDefault="00FB4458">
      <w:pPr>
        <w:pStyle w:val="ListBullet"/>
        <w:spacing w:after="20"/>
        <w:rPr>
          <w:color w:val="F79646" w:themeColor="accent6"/>
          <w:lang w:eastAsia="zh-CN"/>
        </w:rPr>
      </w:pPr>
      <w:r w:rsidRPr="004555A0">
        <w:rPr>
          <w:color w:val="F79646" w:themeColor="accent6"/>
          <w:sz w:val="21"/>
          <w:lang w:eastAsia="zh-CN"/>
        </w:rPr>
        <w:t>长期险业务份额稳定在</w:t>
      </w:r>
      <w:r w:rsidRPr="004555A0">
        <w:rPr>
          <w:color w:val="F79646" w:themeColor="accent6"/>
          <w:sz w:val="21"/>
          <w:lang w:eastAsia="zh-CN"/>
        </w:rPr>
        <w:t>73%</w:t>
      </w:r>
      <w:r w:rsidRPr="004555A0">
        <w:rPr>
          <w:color w:val="F79646" w:themeColor="accent6"/>
          <w:sz w:val="21"/>
          <w:lang w:eastAsia="zh-CN"/>
        </w:rPr>
        <w:t>以上，业务质量持续优化</w:t>
      </w:r>
    </w:p>
    <w:p w14:paraId="5541A69A" w14:textId="77777777" w:rsidR="00056A31" w:rsidRPr="004555A0" w:rsidRDefault="00056A31">
      <w:pPr>
        <w:spacing w:before="160" w:after="120"/>
        <w:rPr>
          <w:color w:val="F79646" w:themeColor="accent6"/>
          <w:sz w:val="18"/>
          <w:lang w:eastAsia="zh-CN"/>
        </w:rPr>
      </w:pPr>
    </w:p>
    <w:p w14:paraId="62A548E8" w14:textId="19F4893D" w:rsidR="00C41419" w:rsidRPr="004555A0" w:rsidRDefault="00FB4458">
      <w:pPr>
        <w:spacing w:before="160" w:after="120"/>
        <w:rPr>
          <w:color w:val="F79646" w:themeColor="accent6"/>
          <w:lang w:eastAsia="zh-CN"/>
        </w:rPr>
      </w:pPr>
      <w:r w:rsidRPr="004555A0">
        <w:rPr>
          <w:rFonts w:ascii="Arial" w:eastAsia="SimHei" w:hAnsi="Arial"/>
          <w:b/>
          <w:color w:val="F79646" w:themeColor="accent6"/>
          <w:sz w:val="28"/>
          <w:lang w:eastAsia="zh-CN"/>
        </w:rPr>
        <w:t xml:space="preserve">2.1  </w:t>
      </w:r>
      <w:r w:rsidRPr="004555A0">
        <w:rPr>
          <w:rFonts w:ascii="Arial" w:eastAsia="SimHei" w:hAnsi="Arial"/>
          <w:b/>
          <w:color w:val="F79646" w:themeColor="accent6"/>
          <w:sz w:val="28"/>
          <w:lang w:eastAsia="zh-CN"/>
        </w:rPr>
        <w:t>经济政策环境</w:t>
      </w:r>
    </w:p>
    <w:p w14:paraId="37D34DC1" w14:textId="77777777" w:rsidR="00056A31" w:rsidRPr="004555A0" w:rsidRDefault="00FB4458" w:rsidP="00056A31">
      <w:pPr>
        <w:spacing w:after="80"/>
        <w:ind w:firstLine="480"/>
        <w:rPr>
          <w:color w:val="F79646" w:themeColor="accent6"/>
          <w:lang w:eastAsia="zh-CN"/>
        </w:rPr>
      </w:pPr>
      <w:r w:rsidRPr="004555A0">
        <w:rPr>
          <w:color w:val="F79646" w:themeColor="accent6"/>
          <w:lang w:eastAsia="zh-CN"/>
        </w:rPr>
        <w:t>本节从宏观经济基本面与行业监管政策两条线索切入，剖析</w:t>
      </w:r>
      <w:r w:rsidRPr="004555A0">
        <w:rPr>
          <w:color w:val="F79646" w:themeColor="accent6"/>
          <w:lang w:eastAsia="zh-CN"/>
        </w:rPr>
        <w:t>2026</w:t>
      </w:r>
      <w:r w:rsidRPr="004555A0">
        <w:rPr>
          <w:color w:val="F79646" w:themeColor="accent6"/>
          <w:lang w:eastAsia="zh-CN"/>
        </w:rPr>
        <w:t>年第三季度影响保险业发展的外部条件。三季度经济延续温和修复，政策面积极信号密集释放，共同塑造了行业运行的制度与宏观背景。</w:t>
      </w:r>
    </w:p>
    <w:p w14:paraId="710C6E76" w14:textId="77777777" w:rsidR="00056A31" w:rsidRPr="004555A0" w:rsidRDefault="00056A31" w:rsidP="00056A31">
      <w:pPr>
        <w:spacing w:after="80"/>
        <w:rPr>
          <w:color w:val="F79646" w:themeColor="accent6"/>
          <w:lang w:eastAsia="zh-CN"/>
        </w:rPr>
      </w:pPr>
    </w:p>
    <w:p w14:paraId="09F4F862" w14:textId="405AA8D9" w:rsidR="00C41419" w:rsidRPr="004555A0" w:rsidRDefault="00FB4458" w:rsidP="00056A31">
      <w:pPr>
        <w:spacing w:after="80"/>
        <w:rPr>
          <w:color w:val="F79646" w:themeColor="accent6"/>
          <w:lang w:eastAsia="zh-CN"/>
        </w:rPr>
      </w:pPr>
      <w:r w:rsidRPr="004555A0">
        <w:rPr>
          <w:rFonts w:ascii="Arial" w:eastAsia="SimHei" w:hAnsi="Arial"/>
          <w:b/>
          <w:color w:val="F79646" w:themeColor="accent6"/>
          <w:sz w:val="28"/>
          <w:lang w:eastAsia="zh-CN"/>
        </w:rPr>
        <w:t xml:space="preserve">3.1  </w:t>
      </w:r>
      <w:r w:rsidRPr="004555A0">
        <w:rPr>
          <w:rFonts w:ascii="Arial" w:eastAsia="SimHei" w:hAnsi="Arial"/>
          <w:b/>
          <w:color w:val="F79646" w:themeColor="accent6"/>
          <w:sz w:val="28"/>
          <w:lang w:eastAsia="zh-CN"/>
        </w:rPr>
        <w:t>整体保费规模</w:t>
      </w:r>
    </w:p>
    <w:p w14:paraId="15E98C17" w14:textId="77777777" w:rsidR="00C41419" w:rsidRPr="004555A0" w:rsidRDefault="00FB4458">
      <w:pPr>
        <w:spacing w:after="80"/>
        <w:ind w:firstLine="480"/>
        <w:rPr>
          <w:color w:val="F79646" w:themeColor="accent6"/>
          <w:lang w:eastAsia="zh-CN"/>
        </w:rPr>
      </w:pPr>
      <w:r w:rsidRPr="004555A0">
        <w:rPr>
          <w:color w:val="F79646" w:themeColor="accent6"/>
          <w:lang w:eastAsia="zh-CN"/>
        </w:rPr>
        <w:t>2026</w:t>
      </w:r>
      <w:r w:rsidRPr="004555A0">
        <w:rPr>
          <w:color w:val="F79646" w:themeColor="accent6"/>
          <w:lang w:eastAsia="zh-CN"/>
        </w:rPr>
        <w:t>年第三季度，行业保费收入延续稳健扩张，增速较二季度小幅回升。全行业原保险保费收入达</w:t>
      </w:r>
      <w:r w:rsidRPr="004555A0">
        <w:rPr>
          <w:color w:val="F79646" w:themeColor="accent6"/>
          <w:lang w:eastAsia="zh-CN"/>
        </w:rPr>
        <w:t>2.35</w:t>
      </w:r>
      <w:r w:rsidRPr="004555A0">
        <w:rPr>
          <w:color w:val="F79646" w:themeColor="accent6"/>
          <w:lang w:eastAsia="zh-CN"/>
        </w:rPr>
        <w:t>万亿元，同比增长</w:t>
      </w:r>
      <w:r w:rsidRPr="004555A0">
        <w:rPr>
          <w:color w:val="F79646" w:themeColor="accent6"/>
          <w:lang w:eastAsia="zh-CN"/>
        </w:rPr>
        <w:t>7.2%</w:t>
      </w:r>
      <w:r w:rsidRPr="004555A0">
        <w:rPr>
          <w:color w:val="F79646" w:themeColor="accent6"/>
          <w:lang w:eastAsia="zh-CN"/>
        </w:rPr>
        <w:t>，环比增长</w:t>
      </w:r>
      <w:r w:rsidRPr="004555A0">
        <w:rPr>
          <w:color w:val="F79646" w:themeColor="accent6"/>
          <w:lang w:eastAsia="zh-CN"/>
        </w:rPr>
        <w:t>7.8%</w:t>
      </w:r>
      <w:r w:rsidRPr="004555A0">
        <w:rPr>
          <w:color w:val="F79646" w:themeColor="accent6"/>
          <w:lang w:eastAsia="zh-CN"/>
        </w:rPr>
        <w:t>。</w:t>
      </w:r>
    </w:p>
    <w:p w14:paraId="3BB00295" w14:textId="034D2AB4" w:rsidR="00C41419" w:rsidRPr="004555A0" w:rsidRDefault="00C41419" w:rsidP="00056A31">
      <w:pPr>
        <w:spacing w:before="200"/>
        <w:rPr>
          <w:color w:val="F79646" w:themeColor="accent6"/>
          <w:lang w:eastAsia="zh-CN"/>
        </w:rPr>
      </w:pPr>
    </w:p>
    <w:p w14:paraId="6A5FD8C1" w14:textId="77777777" w:rsidR="00C41419" w:rsidRPr="004555A0" w:rsidRDefault="00FB4458">
      <w:pPr>
        <w:spacing w:before="160" w:after="120"/>
        <w:rPr>
          <w:color w:val="F79646" w:themeColor="accent6"/>
          <w:lang w:eastAsia="zh-CN"/>
        </w:rPr>
      </w:pPr>
      <w:r w:rsidRPr="004555A0">
        <w:rPr>
          <w:rFonts w:ascii="Arial" w:eastAsia="SimHei" w:hAnsi="Arial"/>
          <w:b/>
          <w:color w:val="F79646" w:themeColor="accent6"/>
          <w:sz w:val="28"/>
          <w:lang w:eastAsia="zh-CN"/>
        </w:rPr>
        <w:t xml:space="preserve">5.1  </w:t>
      </w:r>
      <w:r w:rsidRPr="004555A0">
        <w:rPr>
          <w:rFonts w:ascii="Arial" w:eastAsia="SimHei" w:hAnsi="Arial"/>
          <w:b/>
          <w:color w:val="F79646" w:themeColor="accent6"/>
          <w:sz w:val="28"/>
          <w:lang w:eastAsia="zh-CN"/>
        </w:rPr>
        <w:t>线下渠道</w:t>
      </w:r>
    </w:p>
    <w:p w14:paraId="7A0B6104" w14:textId="77777777" w:rsidR="00C41419" w:rsidRPr="004555A0" w:rsidRDefault="00FB4458">
      <w:pPr>
        <w:spacing w:after="80"/>
        <w:ind w:firstLine="480"/>
        <w:rPr>
          <w:color w:val="F79646" w:themeColor="accent6"/>
          <w:lang w:eastAsia="zh-CN"/>
        </w:rPr>
      </w:pPr>
      <w:r w:rsidRPr="004555A0">
        <w:rPr>
          <w:color w:val="F79646" w:themeColor="accent6"/>
          <w:lang w:eastAsia="zh-CN"/>
        </w:rPr>
        <w:t>线下渠道仍是保险销售的主力，但份额持续收缩。三季度线下渠道保费占比</w:t>
      </w:r>
      <w:r w:rsidRPr="004555A0">
        <w:rPr>
          <w:color w:val="F79646" w:themeColor="accent6"/>
          <w:lang w:eastAsia="zh-CN"/>
        </w:rPr>
        <w:t>72.8%</w:t>
      </w:r>
      <w:r w:rsidRPr="004555A0">
        <w:rPr>
          <w:color w:val="F79646" w:themeColor="accent6"/>
          <w:lang w:eastAsia="zh-CN"/>
        </w:rPr>
        <w:t>，较二季度下降</w:t>
      </w:r>
      <w:r w:rsidRPr="004555A0">
        <w:rPr>
          <w:color w:val="F79646" w:themeColor="accent6"/>
          <w:lang w:eastAsia="zh-CN"/>
        </w:rPr>
        <w:t>2.0</w:t>
      </w:r>
      <w:r w:rsidRPr="004555A0">
        <w:rPr>
          <w:color w:val="F79646" w:themeColor="accent6"/>
          <w:lang w:eastAsia="zh-CN"/>
        </w:rPr>
        <w:t>个百分点。</w:t>
      </w:r>
    </w:p>
    <w:sectPr w:rsidR="00C41419" w:rsidRPr="004555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0C3EB" w14:textId="77777777" w:rsidR="00FB4458" w:rsidRDefault="00FB4458" w:rsidP="00056A31">
      <w:pPr>
        <w:spacing w:after="0" w:line="240" w:lineRule="auto"/>
      </w:pPr>
      <w:r>
        <w:separator/>
      </w:r>
    </w:p>
  </w:endnote>
  <w:endnote w:type="continuationSeparator" w:id="0">
    <w:p w14:paraId="1FD4E490" w14:textId="77777777" w:rsidR="00FB4458" w:rsidRDefault="00FB4458" w:rsidP="00056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636E" w14:textId="77777777" w:rsidR="00FB4458" w:rsidRDefault="00FB4458" w:rsidP="00056A31">
      <w:pPr>
        <w:spacing w:after="0" w:line="240" w:lineRule="auto"/>
      </w:pPr>
      <w:r>
        <w:separator/>
      </w:r>
    </w:p>
  </w:footnote>
  <w:footnote w:type="continuationSeparator" w:id="0">
    <w:p w14:paraId="57F778F8" w14:textId="77777777" w:rsidR="00FB4458" w:rsidRDefault="00FB4458" w:rsidP="00056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917719">
    <w:abstractNumId w:val="8"/>
  </w:num>
  <w:num w:numId="2" w16cid:durableId="2024428265">
    <w:abstractNumId w:val="6"/>
  </w:num>
  <w:num w:numId="3" w16cid:durableId="1845363997">
    <w:abstractNumId w:val="5"/>
  </w:num>
  <w:num w:numId="4" w16cid:durableId="379477113">
    <w:abstractNumId w:val="4"/>
  </w:num>
  <w:num w:numId="5" w16cid:durableId="643974560">
    <w:abstractNumId w:val="7"/>
  </w:num>
  <w:num w:numId="6" w16cid:durableId="1372532149">
    <w:abstractNumId w:val="3"/>
  </w:num>
  <w:num w:numId="7" w16cid:durableId="266161821">
    <w:abstractNumId w:val="2"/>
  </w:num>
  <w:num w:numId="8" w16cid:durableId="731857095">
    <w:abstractNumId w:val="1"/>
  </w:num>
  <w:num w:numId="9" w16cid:durableId="70807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A31"/>
    <w:rsid w:val="0006063C"/>
    <w:rsid w:val="0015074B"/>
    <w:rsid w:val="0029639D"/>
    <w:rsid w:val="00326F90"/>
    <w:rsid w:val="004555A0"/>
    <w:rsid w:val="004709F4"/>
    <w:rsid w:val="008B62BA"/>
    <w:rsid w:val="008E4840"/>
    <w:rsid w:val="00AA1D8D"/>
    <w:rsid w:val="00B47730"/>
    <w:rsid w:val="00C41419"/>
    <w:rsid w:val="00CB0664"/>
    <w:rsid w:val="00FB4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D74474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宋体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 Liping - Beijing-MR</cp:lastModifiedBy>
  <cp:revision>3</cp:revision>
  <dcterms:created xsi:type="dcterms:W3CDTF">2013-12-23T23:15:00Z</dcterms:created>
  <dcterms:modified xsi:type="dcterms:W3CDTF">2026-07-25T03:22:00Z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2026-07-20T05:55:47Z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808c94ca-83ae-4308-851e-b2c15d608ad0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  <property fmtid="{D5CDD505-2E9C-101B-9397-08002B2CF9AE}" pid="10" name="MSIP_Label_f45d0447-72b7-4595-8ee5-b32b4892557e_Enabled">
    <vt:lpwstr>true</vt:lpwstr>
  </property>
  <property fmtid="{D5CDD505-2E9C-101B-9397-08002B2CF9AE}" pid="11" name="MSIP_Label_f45d0447-72b7-4595-8ee5-b32b4892557e_SetDate">
    <vt:lpwstr>2026-07-25T03:22:06Z</vt:lpwstr>
  </property>
  <property fmtid="{D5CDD505-2E9C-101B-9397-08002B2CF9AE}" pid="12" name="MSIP_Label_f45d0447-72b7-4595-8ee5-b32b4892557e_Method">
    <vt:lpwstr>Privileged</vt:lpwstr>
  </property>
  <property fmtid="{D5CDD505-2E9C-101B-9397-08002B2CF9AE}" pid="13" name="MSIP_Label_f45d0447-72b7-4595-8ee5-b32b4892557e_Name">
    <vt:lpwstr>f45d0447-72b7-4595-8ee5-b32b4892557e</vt:lpwstr>
  </property>
  <property fmtid="{D5CDD505-2E9C-101B-9397-08002B2CF9AE}" pid="14" name="MSIP_Label_f45d0447-72b7-4595-8ee5-b32b4892557e_SiteId">
    <vt:lpwstr>582259a1-dcaa-4cca-b1cf-e60d3f045ecd</vt:lpwstr>
  </property>
  <property fmtid="{D5CDD505-2E9C-101B-9397-08002B2CF9AE}" pid="15" name="MSIP_Label_f45d0447-72b7-4595-8ee5-b32b4892557e_ActionId">
    <vt:lpwstr>bab5c04c-dddb-42e1-8668-7142fa8467bf</vt:lpwstr>
  </property>
  <property fmtid="{D5CDD505-2E9C-101B-9397-08002B2CF9AE}" pid="16" name="MSIP_Label_f45d0447-72b7-4595-8ee5-b32b4892557e_ContentBits">
    <vt:lpwstr>0</vt:lpwstr>
  </property>
  <property fmtid="{D5CDD505-2E9C-101B-9397-08002B2CF9AE}" pid="17" name="MSIP_Label_f45d0447-72b7-4595-8ee5-b32b4892557e_Tag">
    <vt:lpwstr>10, 0, 1, 1</vt:lpwstr>
  </property>
</Properties>
</file>