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30AA" w14:textId="77777777" w:rsidR="00A033BE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4.2  </w:t>
      </w:r>
      <w:r>
        <w:rPr>
          <w:rFonts w:ascii="Arial" w:eastAsia="黑体" w:hAnsi="Arial"/>
          <w:b/>
          <w:color w:val="2E5C8A"/>
          <w:sz w:val="28"/>
          <w:lang w:eastAsia="zh-CN"/>
        </w:rPr>
        <w:t>新兴保险产品发展</w:t>
      </w:r>
    </w:p>
    <w:p w14:paraId="5D47AD44" w14:textId="77777777" w:rsidR="00A033B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数字化转型持续催生新兴保险产品，场景化、碎片化、定制化特征凸显，构成行业增长的新动能。</w:t>
      </w:r>
    </w:p>
    <w:p w14:paraId="21CEFCCC" w14:textId="77777777" w:rsidR="00A033BE" w:rsidRDefault="00000000">
      <w:pPr>
        <w:spacing w:before="120" w:after="40"/>
      </w:pPr>
      <w:proofErr w:type="spellStart"/>
      <w:r>
        <w:rPr>
          <w:b/>
        </w:rPr>
        <w:t>互联网保险产品</w:t>
      </w:r>
      <w:proofErr w:type="spellEnd"/>
    </w:p>
    <w:p w14:paraId="1CC4D196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场景</w:t>
      </w:r>
      <w:proofErr w:type="gramStart"/>
      <w:r>
        <w:rPr>
          <w:sz w:val="21"/>
          <w:lang w:eastAsia="zh-CN"/>
        </w:rPr>
        <w:t>化保险</w:t>
      </w:r>
      <w:proofErr w:type="gramEnd"/>
      <w:r>
        <w:rPr>
          <w:sz w:val="21"/>
          <w:lang w:eastAsia="zh-CN"/>
        </w:rPr>
        <w:t>覆盖电商、出行、社交等</w:t>
      </w:r>
      <w:r>
        <w:rPr>
          <w:sz w:val="21"/>
          <w:lang w:eastAsia="zh-CN"/>
        </w:rPr>
        <w:t>220</w:t>
      </w:r>
      <w:r>
        <w:rPr>
          <w:sz w:val="21"/>
          <w:lang w:eastAsia="zh-CN"/>
        </w:rPr>
        <w:t>余个细分场景</w:t>
      </w:r>
    </w:p>
    <w:p w14:paraId="45A9392A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按需保险快速增长，</w:t>
      </w:r>
      <w:r>
        <w:rPr>
          <w:sz w:val="21"/>
          <w:lang w:eastAsia="zh-CN"/>
        </w:rPr>
        <w:t>UBI</w:t>
      </w:r>
      <w:r>
        <w:rPr>
          <w:sz w:val="21"/>
          <w:lang w:eastAsia="zh-CN"/>
        </w:rPr>
        <w:t>车险试点城市扩至</w:t>
      </w:r>
      <w:r>
        <w:rPr>
          <w:sz w:val="21"/>
          <w:lang w:eastAsia="zh-CN"/>
        </w:rPr>
        <w:t>20</w:t>
      </w:r>
      <w:r>
        <w:rPr>
          <w:sz w:val="21"/>
          <w:lang w:eastAsia="zh-CN"/>
        </w:rPr>
        <w:t>个</w:t>
      </w:r>
    </w:p>
    <w:p w14:paraId="0802D9A7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宠物保险、齿科保险等垂直品类持续受到年轻客群追捧</w:t>
      </w:r>
    </w:p>
    <w:p w14:paraId="70648387" w14:textId="77777777" w:rsidR="00A033BE" w:rsidRDefault="00000000">
      <w:pPr>
        <w:spacing w:before="120" w:after="40"/>
      </w:pPr>
      <w:proofErr w:type="spellStart"/>
      <w:r>
        <w:rPr>
          <w:b/>
        </w:rPr>
        <w:t>科技保险产品</w:t>
      </w:r>
      <w:proofErr w:type="spellEnd"/>
    </w:p>
    <w:p w14:paraId="5B16C428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网络安全保险保费收入突破</w:t>
      </w:r>
      <w:r>
        <w:rPr>
          <w:sz w:val="21"/>
          <w:lang w:eastAsia="zh-CN"/>
        </w:rPr>
        <w:t>22</w:t>
      </w:r>
      <w:r>
        <w:rPr>
          <w:sz w:val="21"/>
          <w:lang w:eastAsia="zh-CN"/>
        </w:rPr>
        <w:t>亿元，同比激增</w:t>
      </w:r>
      <w:r>
        <w:rPr>
          <w:sz w:val="21"/>
          <w:lang w:eastAsia="zh-CN"/>
        </w:rPr>
        <w:t>90%</w:t>
      </w:r>
    </w:p>
    <w:p w14:paraId="137024F3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知识产权保险覆盖范围扩至</w:t>
      </w:r>
      <w:r>
        <w:rPr>
          <w:sz w:val="21"/>
          <w:lang w:eastAsia="zh-CN"/>
        </w:rPr>
        <w:t>25</w:t>
      </w:r>
      <w:r>
        <w:rPr>
          <w:sz w:val="21"/>
          <w:lang w:eastAsia="zh-CN"/>
        </w:rPr>
        <w:t>个省级行政区</w:t>
      </w:r>
    </w:p>
    <w:p w14:paraId="50463FC4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绿色保险产品体系持续完善，碳交易、新能源、环保领域产品矩阵丰富</w:t>
      </w:r>
    </w:p>
    <w:p w14:paraId="3209129A" w14:textId="77777777" w:rsidR="00A033BE" w:rsidRDefault="00000000">
      <w:pPr>
        <w:spacing w:before="120" w:after="40"/>
      </w:pPr>
      <w:proofErr w:type="spellStart"/>
      <w:r>
        <w:rPr>
          <w:b/>
        </w:rPr>
        <w:t>创新方向</w:t>
      </w:r>
      <w:proofErr w:type="spellEnd"/>
    </w:p>
    <w:p w14:paraId="211B73F7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AI</w:t>
      </w:r>
      <w:r>
        <w:rPr>
          <w:sz w:val="21"/>
          <w:lang w:eastAsia="zh-CN"/>
        </w:rPr>
        <w:t>驱动的动态定价产品应用范围由车险向健康险延伸</w:t>
      </w:r>
    </w:p>
    <w:p w14:paraId="353C924A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区块链技术在再保险与理赔场景实现规模化应用</w:t>
      </w:r>
    </w:p>
    <w:p w14:paraId="3ED09104" w14:textId="77777777" w:rsidR="006F60EE" w:rsidRPr="006F60EE" w:rsidRDefault="00000000" w:rsidP="006F60EE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保险与科技企业的生态协同模式已成主流路径</w:t>
      </w:r>
    </w:p>
    <w:p w14:paraId="6993D226" w14:textId="77777777" w:rsidR="006F60EE" w:rsidRDefault="006F60EE">
      <w:pPr>
        <w:spacing w:before="160" w:after="120"/>
        <w:rPr>
          <w:rFonts w:ascii="Arial" w:eastAsia="黑体" w:hAnsi="Arial"/>
          <w:b/>
          <w:color w:val="2E5C8A"/>
          <w:sz w:val="28"/>
          <w:lang w:eastAsia="zh-CN"/>
        </w:rPr>
      </w:pPr>
    </w:p>
    <w:p w14:paraId="09690CC3" w14:textId="62581E6B" w:rsidR="00A033BE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6.1  </w:t>
      </w:r>
      <w:r>
        <w:rPr>
          <w:rFonts w:ascii="Arial" w:eastAsia="黑体" w:hAnsi="Arial"/>
          <w:b/>
          <w:color w:val="2E5C8A"/>
          <w:sz w:val="28"/>
          <w:lang w:eastAsia="zh-CN"/>
        </w:rPr>
        <w:t>风险评估体系</w:t>
      </w:r>
    </w:p>
    <w:p w14:paraId="1E1B4EE9" w14:textId="77777777" w:rsidR="00A033B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三季度行业风险管理能力持续提升，偿付能力总体充足，风险防线进一步筑牢。</w:t>
      </w:r>
    </w:p>
    <w:p w14:paraId="18AF11B8" w14:textId="77777777" w:rsidR="00A033BE" w:rsidRDefault="00000000">
      <w:pPr>
        <w:spacing w:before="120" w:after="40"/>
      </w:pPr>
      <w:proofErr w:type="spellStart"/>
      <w:r>
        <w:rPr>
          <w:b/>
        </w:rPr>
        <w:t>偿付能力水平</w:t>
      </w:r>
      <w:proofErr w:type="spellEnd"/>
    </w:p>
    <w:p w14:paraId="0F4787DA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行业平均综合偿付能力充足率</w:t>
      </w:r>
      <w:r>
        <w:rPr>
          <w:sz w:val="21"/>
          <w:lang w:eastAsia="zh-CN"/>
        </w:rPr>
        <w:t>194%</w:t>
      </w:r>
      <w:r>
        <w:rPr>
          <w:sz w:val="21"/>
          <w:lang w:eastAsia="zh-CN"/>
        </w:rPr>
        <w:t>，较二季度下降</w:t>
      </w:r>
      <w:r>
        <w:rPr>
          <w:sz w:val="21"/>
          <w:lang w:eastAsia="zh-CN"/>
        </w:rPr>
        <w:t>2</w:t>
      </w:r>
      <w:r>
        <w:rPr>
          <w:sz w:val="21"/>
          <w:lang w:eastAsia="zh-CN"/>
        </w:rPr>
        <w:t>个百分点</w:t>
      </w:r>
    </w:p>
    <w:p w14:paraId="46337F07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人身险公司平均核心偿付能力充足率</w:t>
      </w:r>
      <w:r>
        <w:rPr>
          <w:sz w:val="21"/>
          <w:lang w:eastAsia="zh-CN"/>
        </w:rPr>
        <w:t>115%</w:t>
      </w:r>
    </w:p>
    <w:p w14:paraId="409CF84C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财产险公司平均综合偿付能力充足率</w:t>
      </w:r>
      <w:r>
        <w:rPr>
          <w:sz w:val="21"/>
          <w:lang w:eastAsia="zh-CN"/>
        </w:rPr>
        <w:t>238%</w:t>
      </w:r>
    </w:p>
    <w:p w14:paraId="60EE63C2" w14:textId="77777777" w:rsidR="00A033BE" w:rsidRDefault="00000000">
      <w:pPr>
        <w:spacing w:before="120" w:after="40"/>
      </w:pPr>
      <w:proofErr w:type="spellStart"/>
      <w:r>
        <w:rPr>
          <w:b/>
        </w:rPr>
        <w:t>风控能力建设</w:t>
      </w:r>
      <w:proofErr w:type="spellEnd"/>
    </w:p>
    <w:p w14:paraId="3475F5C0" w14:textId="77777777" w:rsidR="00A033BE" w:rsidRDefault="00000000">
      <w:pPr>
        <w:pStyle w:val="a0"/>
        <w:spacing w:after="20"/>
        <w:rPr>
          <w:lang w:eastAsia="zh-CN"/>
        </w:rPr>
      </w:pPr>
      <w:proofErr w:type="gramStart"/>
      <w:r>
        <w:rPr>
          <w:sz w:val="21"/>
          <w:lang w:eastAsia="zh-CN"/>
        </w:rPr>
        <w:t>偿</w:t>
      </w:r>
      <w:proofErr w:type="gramEnd"/>
      <w:r>
        <w:rPr>
          <w:sz w:val="21"/>
          <w:lang w:eastAsia="zh-CN"/>
        </w:rPr>
        <w:t>二代二期工程规则修订持续推进，穿透式监管要求深化</w:t>
      </w:r>
    </w:p>
    <w:p w14:paraId="2C618C49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资产负债管理能力评估结果纳入分类监管体系</w:t>
      </w:r>
    </w:p>
    <w:p w14:paraId="354F9593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流动性风险监测指标体系进一步完善</w:t>
      </w:r>
    </w:p>
    <w:p w14:paraId="492A0610" w14:textId="77777777" w:rsidR="00A033BE" w:rsidRDefault="00000000">
      <w:pPr>
        <w:spacing w:before="120" w:after="40"/>
      </w:pPr>
      <w:proofErr w:type="spellStart"/>
      <w:r>
        <w:rPr>
          <w:b/>
        </w:rPr>
        <w:t>压力测试结果</w:t>
      </w:r>
      <w:proofErr w:type="spellEnd"/>
    </w:p>
    <w:p w14:paraId="6C376F99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利率下行</w:t>
      </w:r>
      <w:r>
        <w:rPr>
          <w:sz w:val="21"/>
          <w:lang w:eastAsia="zh-CN"/>
        </w:rPr>
        <w:t>100BP</w:t>
      </w:r>
      <w:r>
        <w:rPr>
          <w:sz w:val="21"/>
          <w:lang w:eastAsia="zh-CN"/>
        </w:rPr>
        <w:t>情景下，约</w:t>
      </w:r>
      <w:r>
        <w:rPr>
          <w:sz w:val="21"/>
          <w:lang w:eastAsia="zh-CN"/>
        </w:rPr>
        <w:t>12%</w:t>
      </w:r>
      <w:r>
        <w:rPr>
          <w:sz w:val="21"/>
          <w:lang w:eastAsia="zh-CN"/>
        </w:rPr>
        <w:t>的人身险公司面临利差损，较二季度有所改善</w:t>
      </w:r>
    </w:p>
    <w:p w14:paraId="25C12DFB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权益市场下跌</w:t>
      </w:r>
      <w:r>
        <w:rPr>
          <w:sz w:val="21"/>
          <w:lang w:eastAsia="zh-CN"/>
        </w:rPr>
        <w:t>20%</w:t>
      </w:r>
      <w:r>
        <w:rPr>
          <w:sz w:val="21"/>
          <w:lang w:eastAsia="zh-CN"/>
        </w:rPr>
        <w:t>情景下，行业偿付能力回落约</w:t>
      </w:r>
      <w:r>
        <w:rPr>
          <w:sz w:val="21"/>
          <w:lang w:eastAsia="zh-CN"/>
        </w:rPr>
        <w:t>7</w:t>
      </w:r>
      <w:r>
        <w:rPr>
          <w:sz w:val="21"/>
          <w:lang w:eastAsia="zh-CN"/>
        </w:rPr>
        <w:t>个百分点</w:t>
      </w:r>
    </w:p>
    <w:p w14:paraId="7F0DB126" w14:textId="77777777" w:rsidR="00A033B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巨灾情景测试已覆盖所有经营巨灾险种的机构</w:t>
      </w:r>
    </w:p>
    <w:p w14:paraId="6A7D9FFE" w14:textId="77777777" w:rsidR="006F60EE" w:rsidRDefault="006F60EE">
      <w:pPr>
        <w:spacing w:before="160" w:after="120"/>
        <w:rPr>
          <w:color w:val="AAAAAA"/>
          <w:sz w:val="18"/>
          <w:lang w:eastAsia="zh-CN"/>
        </w:rPr>
      </w:pPr>
    </w:p>
    <w:p w14:paraId="2368E4C9" w14:textId="66F1EF7E" w:rsidR="00A033BE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2.2  </w:t>
      </w:r>
      <w:r>
        <w:rPr>
          <w:rFonts w:ascii="Arial" w:eastAsia="黑体" w:hAnsi="Arial"/>
          <w:b/>
          <w:color w:val="2E5C8A"/>
          <w:sz w:val="28"/>
          <w:lang w:eastAsia="zh-CN"/>
        </w:rPr>
        <w:t>利率与资金面</w:t>
      </w:r>
    </w:p>
    <w:p w14:paraId="0A1DA7EC" w14:textId="77777777" w:rsidR="00A033B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lastRenderedPageBreak/>
        <w:t>利率水平是决定保险业经营表现的关键变量。本季度利率曲线呈现「低位震荡、边际企稳」特征，</w:t>
      </w:r>
      <w:proofErr w:type="gramStart"/>
      <w:r>
        <w:rPr>
          <w:lang w:eastAsia="zh-CN"/>
        </w:rPr>
        <w:t>对险企资产</w:t>
      </w:r>
      <w:proofErr w:type="gramEnd"/>
      <w:r>
        <w:rPr>
          <w:lang w:eastAsia="zh-CN"/>
        </w:rPr>
        <w:t>配置与负债端定价持续形成深刻影响。</w:t>
      </w:r>
    </w:p>
    <w:p w14:paraId="0CA665C8" w14:textId="77777777" w:rsidR="006F60EE" w:rsidRDefault="006F60EE">
      <w:pPr>
        <w:spacing w:before="160" w:after="120"/>
        <w:rPr>
          <w:color w:val="AAAAAA"/>
          <w:sz w:val="18"/>
          <w:lang w:eastAsia="zh-CN"/>
        </w:rPr>
      </w:pPr>
    </w:p>
    <w:p w14:paraId="0E02E584" w14:textId="706FD0B3" w:rsidR="00A033BE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3.2  </w:t>
      </w:r>
      <w:r>
        <w:rPr>
          <w:rFonts w:ascii="Arial" w:eastAsia="黑体" w:hAnsi="Arial"/>
          <w:b/>
          <w:color w:val="2E5C8A"/>
          <w:sz w:val="28"/>
          <w:lang w:eastAsia="zh-CN"/>
        </w:rPr>
        <w:t>分险种保费结构</w:t>
      </w:r>
    </w:p>
    <w:p w14:paraId="202BA7EF" w14:textId="77777777" w:rsidR="00A033B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本季度各险种份额延续优化趋势，健康险与养老</w:t>
      </w:r>
      <w:proofErr w:type="gramStart"/>
      <w:r>
        <w:rPr>
          <w:lang w:eastAsia="zh-CN"/>
        </w:rPr>
        <w:t>险占比持续</w:t>
      </w:r>
      <w:proofErr w:type="gramEnd"/>
      <w:r>
        <w:rPr>
          <w:lang w:eastAsia="zh-CN"/>
        </w:rPr>
        <w:t>抬升，传统寿险份额回落，产品结构</w:t>
      </w:r>
      <w:proofErr w:type="gramStart"/>
      <w:r>
        <w:rPr>
          <w:lang w:eastAsia="zh-CN"/>
        </w:rPr>
        <w:t>向保障</w:t>
      </w:r>
      <w:proofErr w:type="gramEnd"/>
      <w:r>
        <w:rPr>
          <w:lang w:eastAsia="zh-CN"/>
        </w:rPr>
        <w:t>型、长期型转型的方向更加清晰。</w:t>
      </w:r>
    </w:p>
    <w:sectPr w:rsidR="00A03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8A201" w14:textId="77777777" w:rsidR="0033591B" w:rsidRDefault="0033591B" w:rsidP="006F60EE">
      <w:pPr>
        <w:spacing w:after="0" w:line="240" w:lineRule="auto"/>
      </w:pPr>
      <w:r>
        <w:separator/>
      </w:r>
    </w:p>
  </w:endnote>
  <w:endnote w:type="continuationSeparator" w:id="0">
    <w:p w14:paraId="1988777D" w14:textId="77777777" w:rsidR="0033591B" w:rsidRDefault="0033591B" w:rsidP="006F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81E8E" w14:textId="77777777" w:rsidR="0033591B" w:rsidRDefault="0033591B" w:rsidP="006F60EE">
      <w:pPr>
        <w:spacing w:after="0" w:line="240" w:lineRule="auto"/>
      </w:pPr>
      <w:r>
        <w:separator/>
      </w:r>
    </w:p>
  </w:footnote>
  <w:footnote w:type="continuationSeparator" w:id="0">
    <w:p w14:paraId="7CB00C72" w14:textId="77777777" w:rsidR="0033591B" w:rsidRDefault="0033591B" w:rsidP="006F6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937646">
    <w:abstractNumId w:val="8"/>
  </w:num>
  <w:num w:numId="2" w16cid:durableId="534317015">
    <w:abstractNumId w:val="6"/>
  </w:num>
  <w:num w:numId="3" w16cid:durableId="824277054">
    <w:abstractNumId w:val="5"/>
  </w:num>
  <w:num w:numId="4" w16cid:durableId="212277676">
    <w:abstractNumId w:val="4"/>
  </w:num>
  <w:num w:numId="5" w16cid:durableId="1097168005">
    <w:abstractNumId w:val="7"/>
  </w:num>
  <w:num w:numId="6" w16cid:durableId="1306088792">
    <w:abstractNumId w:val="3"/>
  </w:num>
  <w:num w:numId="7" w16cid:durableId="1373457587">
    <w:abstractNumId w:val="2"/>
  </w:num>
  <w:num w:numId="8" w16cid:durableId="539706893">
    <w:abstractNumId w:val="1"/>
  </w:num>
  <w:num w:numId="9" w16cid:durableId="57300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91B"/>
    <w:rsid w:val="006F60EE"/>
    <w:rsid w:val="008B62BA"/>
    <w:rsid w:val="00A033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7E5826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Liping Zhang</cp:lastModifiedBy>
  <cp:revision>2</cp:revision>
  <dcterms:created xsi:type="dcterms:W3CDTF">2013-12-23T23:15:00Z</dcterms:created>
  <dcterms:modified xsi:type="dcterms:W3CDTF">2026-07-20T05:56:00Z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2026-07-20T05:56:31Z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52556440-678a-48bc-a4bf-cd5334b1ebe4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</Properties>
</file>