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9267" w14:textId="77777777" w:rsidR="00BD5BB3" w:rsidRPr="00A43C13" w:rsidRDefault="002F692F">
      <w:pPr>
        <w:spacing w:before="160" w:after="120"/>
        <w:rPr>
          <w:rFonts w:ascii="微软雅黑" w:eastAsia="微软雅黑" w:hAnsi="微软雅黑"/>
          <w:sz w:val="21"/>
          <w:szCs w:val="21"/>
          <w:lang w:eastAsia="zh-CN"/>
        </w:rPr>
      </w:pPr>
      <w:r w:rsidRPr="00A43C13">
        <w:rPr>
          <w:rFonts w:ascii="微软雅黑" w:eastAsia="微软雅黑" w:hAnsi="微软雅黑"/>
          <w:b/>
          <w:color w:val="404040"/>
          <w:sz w:val="21"/>
          <w:szCs w:val="21"/>
          <w:lang w:eastAsia="zh-CN"/>
        </w:rPr>
        <w:t xml:space="preserve">5.1.2  </w:t>
      </w:r>
      <w:r w:rsidRPr="00A43C13">
        <w:rPr>
          <w:rFonts w:ascii="微软雅黑" w:eastAsia="微软雅黑" w:hAnsi="微软雅黑"/>
          <w:b/>
          <w:color w:val="404040"/>
          <w:sz w:val="21"/>
          <w:szCs w:val="21"/>
          <w:lang w:eastAsia="zh-CN"/>
        </w:rPr>
        <w:t>银保渠道分析</w:t>
      </w:r>
    </w:p>
    <w:p w14:paraId="706B4C23" w14:textId="77777777" w:rsidR="00BD5BB3" w:rsidRPr="00A43C13" w:rsidRDefault="002F692F">
      <w:pPr>
        <w:spacing w:after="80"/>
        <w:ind w:firstLine="480"/>
        <w:rPr>
          <w:rFonts w:ascii="微软雅黑" w:eastAsia="微软雅黑" w:hAnsi="微软雅黑"/>
          <w:sz w:val="21"/>
          <w:szCs w:val="21"/>
          <w:lang w:eastAsia="zh-CN"/>
        </w:rPr>
      </w:pPr>
      <w:r w:rsidRPr="00A43C13">
        <w:rPr>
          <w:rFonts w:ascii="微软雅黑" w:eastAsia="微软雅黑" w:hAnsi="微软雅黑"/>
          <w:sz w:val="21"/>
          <w:szCs w:val="21"/>
          <w:lang w:eastAsia="zh-CN"/>
        </w:rPr>
        <w:t>银保渠道本季度延续亮眼表现，实现保费收入</w:t>
      </w:r>
      <w:r w:rsidRPr="00A43C13">
        <w:rPr>
          <w:rFonts w:ascii="微软雅黑" w:eastAsia="微软雅黑" w:hAnsi="微软雅黑"/>
          <w:sz w:val="21"/>
          <w:szCs w:val="21"/>
          <w:lang w:eastAsia="zh-CN"/>
        </w:rPr>
        <w:t>6,900</w:t>
      </w:r>
      <w:r w:rsidRPr="00A43C13">
        <w:rPr>
          <w:rFonts w:ascii="微软雅黑" w:eastAsia="微软雅黑" w:hAnsi="微软雅黑"/>
          <w:sz w:val="21"/>
          <w:szCs w:val="21"/>
          <w:lang w:eastAsia="zh-CN"/>
        </w:rPr>
        <w:t>亿元，同比增长</w:t>
      </w:r>
      <w:r w:rsidRPr="00A43C13">
        <w:rPr>
          <w:rFonts w:ascii="微软雅黑" w:eastAsia="微软雅黑" w:hAnsi="微软雅黑"/>
          <w:sz w:val="21"/>
          <w:szCs w:val="21"/>
          <w:lang w:eastAsia="zh-CN"/>
        </w:rPr>
        <w:t>9.8%</w:t>
      </w:r>
      <w:r w:rsidRPr="00A43C13">
        <w:rPr>
          <w:rFonts w:ascii="微软雅黑" w:eastAsia="微软雅黑" w:hAnsi="微软雅黑"/>
          <w:sz w:val="21"/>
          <w:szCs w:val="21"/>
          <w:lang w:eastAsia="zh-CN"/>
        </w:rPr>
        <w:t>，增速继续领跑各渠道。</w:t>
      </w:r>
    </w:p>
    <w:p w14:paraId="5F54C8EF" w14:textId="77777777" w:rsidR="00BD5BB3" w:rsidRPr="00A43C13" w:rsidRDefault="002F692F">
      <w:pPr>
        <w:spacing w:before="120" w:after="40"/>
        <w:rPr>
          <w:rFonts w:ascii="微软雅黑" w:eastAsia="微软雅黑" w:hAnsi="微软雅黑"/>
          <w:sz w:val="21"/>
          <w:szCs w:val="21"/>
        </w:rPr>
      </w:pPr>
      <w:proofErr w:type="spellStart"/>
      <w:r w:rsidRPr="00A43C13">
        <w:rPr>
          <w:rFonts w:ascii="微软雅黑" w:eastAsia="微软雅黑" w:hAnsi="微软雅黑"/>
          <w:b/>
          <w:sz w:val="21"/>
          <w:szCs w:val="21"/>
        </w:rPr>
        <w:t>渠道发展特征</w:t>
      </w:r>
      <w:proofErr w:type="spellEnd"/>
    </w:p>
    <w:p w14:paraId="52AD5A28" w14:textId="77777777" w:rsidR="00BD5BB3" w:rsidRPr="00A43C13" w:rsidRDefault="002F692F">
      <w:pPr>
        <w:pStyle w:val="ListBullet"/>
        <w:spacing w:after="20"/>
        <w:rPr>
          <w:rFonts w:ascii="微软雅黑" w:eastAsia="微软雅黑" w:hAnsi="微软雅黑"/>
          <w:sz w:val="21"/>
          <w:szCs w:val="21"/>
          <w:lang w:eastAsia="zh-CN"/>
        </w:rPr>
      </w:pPr>
      <w:r w:rsidRPr="00A43C13">
        <w:rPr>
          <w:rFonts w:ascii="微软雅黑" w:eastAsia="微软雅黑" w:hAnsi="微软雅黑"/>
          <w:sz w:val="21"/>
          <w:szCs w:val="21"/>
          <w:lang w:eastAsia="zh-CN"/>
        </w:rPr>
        <w:t>长期期交产品占比升至</w:t>
      </w:r>
      <w:r w:rsidRPr="00A43C13">
        <w:rPr>
          <w:rFonts w:ascii="微软雅黑" w:eastAsia="微软雅黑" w:hAnsi="微软雅黑"/>
          <w:sz w:val="21"/>
          <w:szCs w:val="21"/>
          <w:lang w:eastAsia="zh-CN"/>
        </w:rPr>
        <w:t>48%</w:t>
      </w:r>
      <w:r w:rsidRPr="00A43C13">
        <w:rPr>
          <w:rFonts w:ascii="微软雅黑" w:eastAsia="微软雅黑" w:hAnsi="微软雅黑"/>
          <w:sz w:val="21"/>
          <w:szCs w:val="21"/>
          <w:lang w:eastAsia="zh-CN"/>
        </w:rPr>
        <w:t>，业务质量持续改善</w:t>
      </w:r>
    </w:p>
    <w:p w14:paraId="5F68887F" w14:textId="77777777" w:rsidR="00BD5BB3" w:rsidRPr="00A43C13" w:rsidRDefault="002F692F">
      <w:pPr>
        <w:pStyle w:val="ListBullet"/>
        <w:spacing w:after="20"/>
        <w:rPr>
          <w:rFonts w:ascii="微软雅黑" w:eastAsia="微软雅黑" w:hAnsi="微软雅黑"/>
          <w:sz w:val="21"/>
          <w:szCs w:val="21"/>
          <w:lang w:eastAsia="zh-CN"/>
        </w:rPr>
      </w:pPr>
      <w:r w:rsidRPr="00A43C13">
        <w:rPr>
          <w:rFonts w:ascii="微软雅黑" w:eastAsia="微软雅黑" w:hAnsi="微软雅黑"/>
          <w:sz w:val="21"/>
          <w:szCs w:val="21"/>
          <w:lang w:eastAsia="zh-CN"/>
        </w:rPr>
        <w:t>存量客户经营深化，老客户加保率升至</w:t>
      </w:r>
      <w:r w:rsidRPr="00A43C13">
        <w:rPr>
          <w:rFonts w:ascii="微软雅黑" w:eastAsia="微软雅黑" w:hAnsi="微软雅黑"/>
          <w:sz w:val="21"/>
          <w:szCs w:val="21"/>
          <w:lang w:eastAsia="zh-CN"/>
        </w:rPr>
        <w:t>30%</w:t>
      </w:r>
    </w:p>
    <w:p w14:paraId="4849536B" w14:textId="77777777" w:rsidR="00BD5BB3" w:rsidRPr="00A43C13" w:rsidRDefault="002F692F">
      <w:pPr>
        <w:pStyle w:val="ListBullet"/>
        <w:spacing w:after="20"/>
        <w:rPr>
          <w:rFonts w:ascii="微软雅黑" w:eastAsia="微软雅黑" w:hAnsi="微软雅黑"/>
          <w:sz w:val="21"/>
          <w:szCs w:val="21"/>
          <w:lang w:eastAsia="zh-CN"/>
        </w:rPr>
      </w:pPr>
      <w:r w:rsidRPr="00A43C13">
        <w:rPr>
          <w:rFonts w:ascii="微软雅黑" w:eastAsia="微软雅黑" w:hAnsi="微软雅黑"/>
          <w:sz w:val="21"/>
          <w:szCs w:val="21"/>
          <w:lang w:eastAsia="zh-CN"/>
        </w:rPr>
        <w:t>银行网点保险销售专业化程度持续提升</w:t>
      </w:r>
    </w:p>
    <w:p w14:paraId="4011FD33" w14:textId="77777777" w:rsidR="00BD5BB3" w:rsidRPr="00A43C13" w:rsidRDefault="002F692F">
      <w:pPr>
        <w:spacing w:before="120" w:after="40"/>
        <w:rPr>
          <w:rFonts w:ascii="微软雅黑" w:eastAsia="微软雅黑" w:hAnsi="微软雅黑"/>
          <w:sz w:val="21"/>
          <w:szCs w:val="21"/>
        </w:rPr>
      </w:pPr>
      <w:proofErr w:type="spellStart"/>
      <w:r w:rsidRPr="00A43C13">
        <w:rPr>
          <w:rFonts w:ascii="微软雅黑" w:eastAsia="微软雅黑" w:hAnsi="微软雅黑"/>
          <w:b/>
          <w:sz w:val="21"/>
          <w:szCs w:val="21"/>
        </w:rPr>
        <w:t>合作模式创新</w:t>
      </w:r>
      <w:proofErr w:type="spellEnd"/>
    </w:p>
    <w:p w14:paraId="0D2B5264" w14:textId="77777777" w:rsidR="00BD5BB3" w:rsidRPr="00A43C13" w:rsidRDefault="002F692F">
      <w:pPr>
        <w:pStyle w:val="ListBullet"/>
        <w:spacing w:after="20"/>
        <w:rPr>
          <w:rFonts w:ascii="微软雅黑" w:eastAsia="微软雅黑" w:hAnsi="微软雅黑"/>
          <w:sz w:val="21"/>
          <w:szCs w:val="21"/>
          <w:lang w:eastAsia="zh-CN"/>
        </w:rPr>
      </w:pPr>
      <w:r w:rsidRPr="00A43C13">
        <w:rPr>
          <w:rFonts w:ascii="微软雅黑" w:eastAsia="微软雅黑" w:hAnsi="微软雅黑"/>
          <w:sz w:val="21"/>
          <w:szCs w:val="21"/>
          <w:lang w:eastAsia="zh-CN"/>
        </w:rPr>
        <w:t>「网点</w:t>
      </w:r>
      <w:r w:rsidRPr="00A43C13">
        <w:rPr>
          <w:rFonts w:ascii="微软雅黑" w:eastAsia="微软雅黑" w:hAnsi="微软雅黑"/>
          <w:sz w:val="21"/>
          <w:szCs w:val="21"/>
          <w:lang w:eastAsia="zh-CN"/>
        </w:rPr>
        <w:t>+APP</w:t>
      </w:r>
      <w:r w:rsidRPr="00A43C13">
        <w:rPr>
          <w:rFonts w:ascii="微软雅黑" w:eastAsia="微软雅黑" w:hAnsi="微软雅黑"/>
          <w:sz w:val="21"/>
          <w:szCs w:val="21"/>
          <w:lang w:eastAsia="zh-CN"/>
        </w:rPr>
        <w:t>」双线融合模式全面推广</w:t>
      </w:r>
    </w:p>
    <w:p w14:paraId="52047708" w14:textId="77777777" w:rsidR="00BD5BB3" w:rsidRPr="00A43C13" w:rsidRDefault="002F692F">
      <w:pPr>
        <w:pStyle w:val="ListBullet"/>
        <w:spacing w:after="20"/>
        <w:rPr>
          <w:rFonts w:ascii="微软雅黑" w:eastAsia="微软雅黑" w:hAnsi="微软雅黑"/>
          <w:sz w:val="21"/>
          <w:szCs w:val="21"/>
          <w:lang w:eastAsia="zh-CN"/>
        </w:rPr>
      </w:pPr>
      <w:r w:rsidRPr="00A43C13">
        <w:rPr>
          <w:rFonts w:ascii="微软雅黑" w:eastAsia="微软雅黑" w:hAnsi="微软雅黑"/>
          <w:sz w:val="21"/>
          <w:szCs w:val="21"/>
          <w:lang w:eastAsia="zh-CN"/>
        </w:rPr>
        <w:t>银行系险企协同效应持续显现，保费增速高于行业均值</w:t>
      </w:r>
    </w:p>
    <w:p w14:paraId="10574A4C" w14:textId="77777777" w:rsidR="00BD5BB3" w:rsidRPr="00A43C13" w:rsidRDefault="002F692F">
      <w:pPr>
        <w:pStyle w:val="ListBullet"/>
        <w:spacing w:after="20"/>
        <w:rPr>
          <w:rFonts w:ascii="微软雅黑" w:eastAsia="微软雅黑" w:hAnsi="微软雅黑"/>
          <w:sz w:val="21"/>
          <w:szCs w:val="21"/>
          <w:lang w:eastAsia="zh-CN"/>
        </w:rPr>
      </w:pPr>
      <w:r w:rsidRPr="00A43C13">
        <w:rPr>
          <w:rFonts w:ascii="微软雅黑" w:eastAsia="微软雅黑" w:hAnsi="微软雅黑"/>
          <w:sz w:val="21"/>
          <w:szCs w:val="21"/>
          <w:lang w:eastAsia="zh-CN"/>
        </w:rPr>
        <w:t>财富管理与保险保障深度融合，高端客户专属产品线丰富</w:t>
      </w:r>
    </w:p>
    <w:p w14:paraId="2DC22127" w14:textId="77777777" w:rsidR="00CF049F" w:rsidRDefault="00CF049F">
      <w:pPr>
        <w:spacing w:before="160" w:after="120"/>
        <w:rPr>
          <w:rFonts w:ascii="Arial" w:eastAsia="SimHei" w:hAnsi="Arial"/>
          <w:b/>
          <w:color w:val="1F3864"/>
          <w:sz w:val="32"/>
          <w:lang w:eastAsia="zh-CN"/>
        </w:rPr>
      </w:pPr>
    </w:p>
    <w:p w14:paraId="3633350D" w14:textId="18CA8E4F" w:rsidR="00BD5BB3" w:rsidRDefault="002F692F">
      <w:pPr>
        <w:spacing w:before="160" w:after="120"/>
        <w:rPr>
          <w:lang w:eastAsia="zh-CN"/>
        </w:rPr>
      </w:pPr>
      <w:r>
        <w:rPr>
          <w:rFonts w:ascii="Arial" w:eastAsia="SimHei" w:hAnsi="Arial"/>
          <w:b/>
          <w:color w:val="404040"/>
          <w:sz w:val="25"/>
          <w:lang w:eastAsia="zh-CN"/>
        </w:rPr>
        <w:t xml:space="preserve">2.1.2  </w:t>
      </w:r>
      <w:r>
        <w:rPr>
          <w:rFonts w:ascii="Arial" w:eastAsia="SimHei" w:hAnsi="Arial"/>
          <w:b/>
          <w:color w:val="404040"/>
          <w:sz w:val="25"/>
          <w:lang w:eastAsia="zh-CN"/>
        </w:rPr>
        <w:t>保险行业政策动态</w:t>
      </w:r>
    </w:p>
    <w:p w14:paraId="6587088A" w14:textId="77777777" w:rsidR="00BD5BB3" w:rsidRDefault="002F692F">
      <w:pPr>
        <w:spacing w:after="80"/>
        <w:ind w:firstLine="480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年第三季度，监管部门以防风险、促转型、优服务为工作主线，密集推动多项政策落地，对行业生态产生深远影响。</w:t>
      </w:r>
    </w:p>
    <w:p w14:paraId="085F87A7" w14:textId="77777777" w:rsidR="00BD5BB3" w:rsidRDefault="002F692F">
      <w:pPr>
        <w:spacing w:before="120" w:after="40"/>
      </w:pPr>
      <w:proofErr w:type="spellStart"/>
      <w:r>
        <w:rPr>
          <w:b/>
        </w:rPr>
        <w:t>监管举措</w:t>
      </w:r>
      <w:proofErr w:type="spellEnd"/>
    </w:p>
    <w:p w14:paraId="53E3CC43" w14:textId="77777777" w:rsidR="00BD5BB3" w:rsidRDefault="002F692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金融监管总局印发《关于推进保险业高质量发展的指导意见》，明确数字化转型路线图</w:t>
      </w:r>
    </w:p>
    <w:p w14:paraId="652001D3" w14:textId="77777777" w:rsidR="00BD5BB3" w:rsidRDefault="002F692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《保险资金运用管理办法》补充规定落地，权益类资产配置比例上限进一步放宽</w:t>
      </w:r>
    </w:p>
    <w:p w14:paraId="17F2F38A" w14:textId="77777777" w:rsidR="00BD5BB3" w:rsidRDefault="002F692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个人养老金制度全国推广进入深化阶段，税收优惠力度加码</w:t>
      </w:r>
    </w:p>
    <w:p w14:paraId="5E75C096" w14:textId="77777777" w:rsidR="00BD5BB3" w:rsidRDefault="002F692F">
      <w:pPr>
        <w:spacing w:before="120" w:after="40"/>
      </w:pPr>
      <w:proofErr w:type="spellStart"/>
      <w:r>
        <w:rPr>
          <w:b/>
        </w:rPr>
        <w:t>行业规则升级</w:t>
      </w:r>
      <w:proofErr w:type="spellEnd"/>
    </w:p>
    <w:p w14:paraId="666A10F5" w14:textId="77777777" w:rsidR="00BD5BB3" w:rsidRDefault="002F692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车险综改持续深化，新能源车险专属条款完成修订</w:t>
      </w:r>
    </w:p>
    <w:p w14:paraId="0E197860" w14:textId="77777777" w:rsidR="00BD5BB3" w:rsidRDefault="002F692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健康险产品设计指引更新，长期医疗险费率调整机制走向规范化</w:t>
      </w:r>
    </w:p>
    <w:p w14:paraId="022BA789" w14:textId="77777777" w:rsidR="00BD5BB3" w:rsidRDefault="002F692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互联网保险销售行为可回溯管理要求全面执行</w:t>
      </w:r>
    </w:p>
    <w:p w14:paraId="5FC6F022" w14:textId="77777777" w:rsidR="00BD5BB3" w:rsidRDefault="002F692F">
      <w:pPr>
        <w:spacing w:after="80"/>
        <w:ind w:firstLine="480"/>
        <w:rPr>
          <w:lang w:eastAsia="zh-CN"/>
        </w:rPr>
      </w:pPr>
      <w:r>
        <w:rPr>
          <w:lang w:eastAsia="zh-CN"/>
        </w:rPr>
        <w:t>政策体系的持续完善为行业高质量发展夯实了制度基础，同时也对险企的合规经营与精细化管理能力提出了更高门槛。</w:t>
      </w:r>
    </w:p>
    <w:p w14:paraId="112769CA" w14:textId="77777777" w:rsidR="00CF049F" w:rsidRDefault="00CF049F">
      <w:pPr>
        <w:spacing w:before="160" w:after="120"/>
        <w:rPr>
          <w:color w:val="AAAAAA"/>
          <w:sz w:val="18"/>
          <w:lang w:eastAsia="zh-CN"/>
        </w:rPr>
      </w:pPr>
    </w:p>
    <w:p w14:paraId="414B87E9" w14:textId="0B7E8E57" w:rsidR="00BD5BB3" w:rsidRDefault="002F692F">
      <w:pPr>
        <w:spacing w:before="160" w:after="120"/>
        <w:rPr>
          <w:lang w:eastAsia="zh-CN"/>
        </w:rPr>
      </w:pPr>
      <w:r>
        <w:rPr>
          <w:rFonts w:ascii="Arial" w:eastAsia="SimHei" w:hAnsi="Arial"/>
          <w:b/>
          <w:color w:val="404040"/>
          <w:sz w:val="25"/>
          <w:lang w:eastAsia="zh-CN"/>
        </w:rPr>
        <w:t xml:space="preserve">3.1.2  </w:t>
      </w:r>
      <w:r>
        <w:rPr>
          <w:rFonts w:ascii="Arial" w:eastAsia="SimHei" w:hAnsi="Arial"/>
          <w:b/>
          <w:color w:val="404040"/>
          <w:sz w:val="25"/>
          <w:lang w:eastAsia="zh-CN"/>
        </w:rPr>
        <w:t>赔付支出情况</w:t>
      </w:r>
    </w:p>
    <w:p w14:paraId="09A9C5E5" w14:textId="77777777" w:rsidR="00BD5BB3" w:rsidRDefault="002F692F">
      <w:pPr>
        <w:spacing w:after="80"/>
        <w:ind w:firstLine="480"/>
        <w:rPr>
          <w:lang w:eastAsia="zh-CN"/>
        </w:rPr>
      </w:pPr>
      <w:r>
        <w:rPr>
          <w:lang w:eastAsia="zh-CN"/>
        </w:rPr>
        <w:t>三季度，全行业赔付支出</w:t>
      </w:r>
      <w:r>
        <w:rPr>
          <w:lang w:eastAsia="zh-CN"/>
        </w:rPr>
        <w:t>7,200</w:t>
      </w:r>
      <w:r>
        <w:rPr>
          <w:lang w:eastAsia="zh-CN"/>
        </w:rPr>
        <w:t>亿元，同比增长</w:t>
      </w:r>
      <w:r>
        <w:rPr>
          <w:lang w:eastAsia="zh-CN"/>
        </w:rPr>
        <w:t>8.5%</w:t>
      </w:r>
      <w:r>
        <w:rPr>
          <w:lang w:eastAsia="zh-CN"/>
        </w:rPr>
        <w:t>，赔付增速略高于保费增速，反映出理赔端压力仍在累积。</w:t>
      </w:r>
    </w:p>
    <w:p w14:paraId="5119AA46" w14:textId="77777777" w:rsidR="00BD5BB3" w:rsidRDefault="002F692F">
      <w:pPr>
        <w:spacing w:before="80" w:after="40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>1</w:t>
      </w:r>
      <w:r>
        <w:rPr>
          <w:b/>
          <w:sz w:val="21"/>
          <w:lang w:eastAsia="zh-CN"/>
        </w:rPr>
        <w:t>：</w:t>
      </w:r>
      <w:r>
        <w:rPr>
          <w:b/>
          <w:sz w:val="21"/>
          <w:lang w:eastAsia="zh-CN"/>
        </w:rPr>
        <w:t>2026</w:t>
      </w:r>
      <w:r>
        <w:rPr>
          <w:b/>
          <w:sz w:val="21"/>
          <w:lang w:eastAsia="zh-CN"/>
        </w:rPr>
        <w:t>年</w:t>
      </w:r>
      <w:r>
        <w:rPr>
          <w:b/>
          <w:sz w:val="21"/>
          <w:lang w:eastAsia="zh-CN"/>
        </w:rPr>
        <w:t>Q3</w:t>
      </w:r>
      <w:r>
        <w:rPr>
          <w:b/>
          <w:sz w:val="21"/>
          <w:lang w:eastAsia="zh-CN"/>
        </w:rPr>
        <w:t>分险种赔付情况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D5BB3" w14:paraId="2708F796" w14:textId="77777777" w:rsidTr="00BD5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A60F3A" w14:textId="77777777" w:rsidR="00BD5BB3" w:rsidRDefault="002F692F">
            <w:pPr>
              <w:jc w:val="center"/>
            </w:pPr>
            <w:proofErr w:type="spellStart"/>
            <w:r>
              <w:rPr>
                <w:rFonts w:ascii="Arial" w:eastAsia="SimHei" w:hAnsi="Arial"/>
                <w:sz w:val="21"/>
              </w:rPr>
              <w:lastRenderedPageBreak/>
              <w:t>险种类别</w:t>
            </w:r>
            <w:proofErr w:type="spellEnd"/>
          </w:p>
        </w:tc>
        <w:tc>
          <w:tcPr>
            <w:tcW w:w="2160" w:type="dxa"/>
          </w:tcPr>
          <w:p w14:paraId="5DA30F11" w14:textId="77777777" w:rsidR="00BD5BB3" w:rsidRDefault="002F69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SimHei" w:hAnsi="Arial"/>
                <w:sz w:val="21"/>
              </w:rPr>
              <w:t>赔付支出</w:t>
            </w:r>
            <w:proofErr w:type="spellEnd"/>
            <w:r>
              <w:rPr>
                <w:rFonts w:ascii="Arial" w:eastAsia="SimHei" w:hAnsi="Arial"/>
                <w:sz w:val="21"/>
              </w:rPr>
              <w:t>(</w:t>
            </w:r>
            <w:proofErr w:type="spellStart"/>
            <w:r>
              <w:rPr>
                <w:rFonts w:ascii="Arial" w:eastAsia="SimHei" w:hAnsi="Arial"/>
                <w:sz w:val="21"/>
              </w:rPr>
              <w:t>亿元</w:t>
            </w:r>
            <w:proofErr w:type="spellEnd"/>
            <w:r>
              <w:rPr>
                <w:rFonts w:ascii="Arial" w:eastAsia="SimHei" w:hAnsi="Arial"/>
                <w:sz w:val="21"/>
              </w:rPr>
              <w:t>)</w:t>
            </w:r>
          </w:p>
        </w:tc>
        <w:tc>
          <w:tcPr>
            <w:tcW w:w="2160" w:type="dxa"/>
          </w:tcPr>
          <w:p w14:paraId="5385E7B3" w14:textId="77777777" w:rsidR="00BD5BB3" w:rsidRDefault="002F69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SimHei" w:hAnsi="Arial"/>
                <w:sz w:val="21"/>
              </w:rPr>
              <w:t>同比增长</w:t>
            </w:r>
            <w:proofErr w:type="spellEnd"/>
          </w:p>
        </w:tc>
        <w:tc>
          <w:tcPr>
            <w:tcW w:w="2160" w:type="dxa"/>
          </w:tcPr>
          <w:p w14:paraId="5316A6C7" w14:textId="77777777" w:rsidR="00BD5BB3" w:rsidRDefault="002F69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SimHei" w:hAnsi="Arial"/>
                <w:sz w:val="21"/>
              </w:rPr>
              <w:t>赔付率</w:t>
            </w:r>
            <w:proofErr w:type="spellEnd"/>
          </w:p>
        </w:tc>
      </w:tr>
      <w:tr w:rsidR="00BD5BB3" w14:paraId="1FE39BBD" w14:textId="77777777" w:rsidTr="00BD5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0F006C" w14:textId="77777777" w:rsidR="00BD5BB3" w:rsidRDefault="002F692F">
            <w:pPr>
              <w:jc w:val="center"/>
            </w:pPr>
            <w:proofErr w:type="spellStart"/>
            <w:r>
              <w:rPr>
                <w:b w:val="0"/>
                <w:sz w:val="21"/>
              </w:rPr>
              <w:t>寿险</w:t>
            </w:r>
            <w:proofErr w:type="spellEnd"/>
          </w:p>
        </w:tc>
        <w:tc>
          <w:tcPr>
            <w:tcW w:w="2160" w:type="dxa"/>
          </w:tcPr>
          <w:p w14:paraId="408FFB49" w14:textId="77777777" w:rsidR="00BD5BB3" w:rsidRDefault="002F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3,380</w:t>
            </w:r>
          </w:p>
        </w:tc>
        <w:tc>
          <w:tcPr>
            <w:tcW w:w="2160" w:type="dxa"/>
          </w:tcPr>
          <w:p w14:paraId="6EA8075E" w14:textId="77777777" w:rsidR="00BD5BB3" w:rsidRDefault="002F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7.0%</w:t>
            </w:r>
          </w:p>
        </w:tc>
        <w:tc>
          <w:tcPr>
            <w:tcW w:w="2160" w:type="dxa"/>
          </w:tcPr>
          <w:p w14:paraId="3F2F97E9" w14:textId="77777777" w:rsidR="00BD5BB3" w:rsidRDefault="002F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29.1%</w:t>
            </w:r>
          </w:p>
        </w:tc>
      </w:tr>
      <w:tr w:rsidR="00BD5BB3" w14:paraId="38CB035F" w14:textId="77777777" w:rsidTr="00BD5B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DA702F" w14:textId="77777777" w:rsidR="00BD5BB3" w:rsidRDefault="002F692F">
            <w:pPr>
              <w:jc w:val="center"/>
            </w:pPr>
            <w:proofErr w:type="spellStart"/>
            <w:r>
              <w:rPr>
                <w:b w:val="0"/>
                <w:sz w:val="21"/>
              </w:rPr>
              <w:t>健康险</w:t>
            </w:r>
            <w:proofErr w:type="spellEnd"/>
          </w:p>
        </w:tc>
        <w:tc>
          <w:tcPr>
            <w:tcW w:w="2160" w:type="dxa"/>
          </w:tcPr>
          <w:p w14:paraId="4C0EA2B3" w14:textId="77777777" w:rsidR="00BD5BB3" w:rsidRDefault="002F69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2,320</w:t>
            </w:r>
          </w:p>
        </w:tc>
        <w:tc>
          <w:tcPr>
            <w:tcW w:w="2160" w:type="dxa"/>
          </w:tcPr>
          <w:p w14:paraId="68848EF5" w14:textId="77777777" w:rsidR="00BD5BB3" w:rsidRDefault="002F69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13.5%</w:t>
            </w:r>
          </w:p>
        </w:tc>
        <w:tc>
          <w:tcPr>
            <w:tcW w:w="2160" w:type="dxa"/>
          </w:tcPr>
          <w:p w14:paraId="406D365A" w14:textId="77777777" w:rsidR="00BD5BB3" w:rsidRDefault="002F69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39.6%</w:t>
            </w:r>
          </w:p>
        </w:tc>
      </w:tr>
      <w:tr w:rsidR="00BD5BB3" w14:paraId="7A0AB34F" w14:textId="77777777" w:rsidTr="00BD5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4D23D5" w14:textId="77777777" w:rsidR="00BD5BB3" w:rsidRDefault="002F692F">
            <w:pPr>
              <w:jc w:val="center"/>
            </w:pPr>
            <w:proofErr w:type="spellStart"/>
            <w:r>
              <w:rPr>
                <w:b w:val="0"/>
                <w:sz w:val="21"/>
              </w:rPr>
              <w:t>意外险</w:t>
            </w:r>
            <w:proofErr w:type="spellEnd"/>
          </w:p>
        </w:tc>
        <w:tc>
          <w:tcPr>
            <w:tcW w:w="2160" w:type="dxa"/>
          </w:tcPr>
          <w:p w14:paraId="2D6497CB" w14:textId="77777777" w:rsidR="00BD5BB3" w:rsidRDefault="002F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195</w:t>
            </w:r>
          </w:p>
        </w:tc>
        <w:tc>
          <w:tcPr>
            <w:tcW w:w="2160" w:type="dxa"/>
          </w:tcPr>
          <w:p w14:paraId="0720126D" w14:textId="77777777" w:rsidR="00BD5BB3" w:rsidRDefault="002F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3.8%</w:t>
            </w:r>
          </w:p>
        </w:tc>
        <w:tc>
          <w:tcPr>
            <w:tcW w:w="2160" w:type="dxa"/>
          </w:tcPr>
          <w:p w14:paraId="746FA49B" w14:textId="77777777" w:rsidR="00BD5BB3" w:rsidRDefault="002F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22.5%</w:t>
            </w:r>
          </w:p>
        </w:tc>
      </w:tr>
      <w:tr w:rsidR="00BD5BB3" w14:paraId="435AC972" w14:textId="77777777" w:rsidTr="00BD5B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8DD836" w14:textId="77777777" w:rsidR="00BD5BB3" w:rsidRDefault="002F692F">
            <w:pPr>
              <w:jc w:val="center"/>
            </w:pPr>
            <w:proofErr w:type="spellStart"/>
            <w:r>
              <w:rPr>
                <w:b w:val="0"/>
                <w:sz w:val="21"/>
              </w:rPr>
              <w:t>车险</w:t>
            </w:r>
            <w:proofErr w:type="spellEnd"/>
          </w:p>
        </w:tc>
        <w:tc>
          <w:tcPr>
            <w:tcW w:w="2160" w:type="dxa"/>
          </w:tcPr>
          <w:p w14:paraId="67AC427E" w14:textId="77777777" w:rsidR="00BD5BB3" w:rsidRDefault="002F69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1,080</w:t>
            </w:r>
          </w:p>
        </w:tc>
        <w:tc>
          <w:tcPr>
            <w:tcW w:w="2160" w:type="dxa"/>
          </w:tcPr>
          <w:p w14:paraId="567FC26D" w14:textId="77777777" w:rsidR="00BD5BB3" w:rsidRDefault="002F69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5.2%</w:t>
            </w:r>
          </w:p>
        </w:tc>
        <w:tc>
          <w:tcPr>
            <w:tcW w:w="2160" w:type="dxa"/>
          </w:tcPr>
          <w:p w14:paraId="7E52A397" w14:textId="77777777" w:rsidR="00BD5BB3" w:rsidRDefault="002F69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60.8%</w:t>
            </w:r>
          </w:p>
        </w:tc>
      </w:tr>
      <w:tr w:rsidR="00BD5BB3" w14:paraId="726E0822" w14:textId="77777777" w:rsidTr="00BD5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EF0258" w14:textId="77777777" w:rsidR="00BD5BB3" w:rsidRDefault="002F692F">
            <w:pPr>
              <w:jc w:val="center"/>
            </w:pPr>
            <w:proofErr w:type="spellStart"/>
            <w:r>
              <w:rPr>
                <w:b w:val="0"/>
                <w:sz w:val="21"/>
              </w:rPr>
              <w:t>企财险</w:t>
            </w:r>
            <w:proofErr w:type="spellEnd"/>
          </w:p>
        </w:tc>
        <w:tc>
          <w:tcPr>
            <w:tcW w:w="2160" w:type="dxa"/>
          </w:tcPr>
          <w:p w14:paraId="48399AF9" w14:textId="77777777" w:rsidR="00BD5BB3" w:rsidRDefault="002F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135</w:t>
            </w:r>
          </w:p>
        </w:tc>
        <w:tc>
          <w:tcPr>
            <w:tcW w:w="2160" w:type="dxa"/>
          </w:tcPr>
          <w:p w14:paraId="64FB145A" w14:textId="77777777" w:rsidR="00BD5BB3" w:rsidRDefault="002F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-1.8%</w:t>
            </w:r>
          </w:p>
        </w:tc>
        <w:tc>
          <w:tcPr>
            <w:tcW w:w="2160" w:type="dxa"/>
          </w:tcPr>
          <w:p w14:paraId="0F48AEFE" w14:textId="77777777" w:rsidR="00BD5BB3" w:rsidRDefault="002F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34.2%</w:t>
            </w:r>
          </w:p>
        </w:tc>
      </w:tr>
      <w:tr w:rsidR="00BD5BB3" w14:paraId="67D2727E" w14:textId="77777777" w:rsidTr="00BD5B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3AF398" w14:textId="77777777" w:rsidR="00BD5BB3" w:rsidRDefault="002F692F">
            <w:pPr>
              <w:jc w:val="center"/>
            </w:pPr>
            <w:proofErr w:type="spellStart"/>
            <w:r>
              <w:rPr>
                <w:b w:val="0"/>
                <w:sz w:val="21"/>
              </w:rPr>
              <w:t>农险</w:t>
            </w:r>
            <w:proofErr w:type="spellEnd"/>
          </w:p>
        </w:tc>
        <w:tc>
          <w:tcPr>
            <w:tcW w:w="2160" w:type="dxa"/>
          </w:tcPr>
          <w:p w14:paraId="2A9FCFC8" w14:textId="77777777" w:rsidR="00BD5BB3" w:rsidRDefault="002F69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165</w:t>
            </w:r>
          </w:p>
        </w:tc>
        <w:tc>
          <w:tcPr>
            <w:tcW w:w="2160" w:type="dxa"/>
          </w:tcPr>
          <w:p w14:paraId="4FF30306" w14:textId="77777777" w:rsidR="00BD5BB3" w:rsidRDefault="002F69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10.1%</w:t>
            </w:r>
          </w:p>
        </w:tc>
        <w:tc>
          <w:tcPr>
            <w:tcW w:w="2160" w:type="dxa"/>
          </w:tcPr>
          <w:p w14:paraId="38C7E614" w14:textId="77777777" w:rsidR="00BD5BB3" w:rsidRDefault="002F69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43.5%</w:t>
            </w:r>
          </w:p>
        </w:tc>
      </w:tr>
    </w:tbl>
    <w:p w14:paraId="0F7F34D4" w14:textId="77777777" w:rsidR="00BD5BB3" w:rsidRDefault="00BD5BB3">
      <w:pPr>
        <w:spacing w:after="80"/>
      </w:pPr>
    </w:p>
    <w:p w14:paraId="1E1A4F75" w14:textId="77777777" w:rsidR="00BD5BB3" w:rsidRPr="00A43C13" w:rsidRDefault="002F692F">
      <w:pPr>
        <w:spacing w:after="80"/>
        <w:ind w:firstLine="48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sz w:val="24"/>
          <w:szCs w:val="24"/>
          <w:lang w:eastAsia="zh-CN"/>
        </w:rPr>
        <w:t>健康险赔付增速继续高于其他险种，表明业务规模扩张的同时理赔压力同步上行。车险赔付率小幅回落至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60.8%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，定价机制优化效果初步显现。</w:t>
      </w:r>
    </w:p>
    <w:p w14:paraId="410D9E3C" w14:textId="77777777" w:rsidR="00CF049F" w:rsidRPr="00A43C13" w:rsidRDefault="00CF049F">
      <w:pPr>
        <w:spacing w:before="160" w:after="120"/>
        <w:rPr>
          <w:rFonts w:ascii="华文中宋" w:eastAsia="华文中宋" w:hAnsi="华文中宋"/>
          <w:color w:val="AAAAAA"/>
          <w:sz w:val="24"/>
          <w:szCs w:val="24"/>
          <w:lang w:eastAsia="zh-CN"/>
        </w:rPr>
      </w:pPr>
    </w:p>
    <w:p w14:paraId="72F638D3" w14:textId="3012171E" w:rsidR="00BD5BB3" w:rsidRPr="00A43C13" w:rsidRDefault="002F692F">
      <w:pPr>
        <w:spacing w:before="160" w:after="12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b/>
          <w:color w:val="2E5C8A"/>
          <w:sz w:val="24"/>
          <w:szCs w:val="24"/>
          <w:lang w:eastAsia="zh-CN"/>
        </w:rPr>
        <w:t xml:space="preserve">4.1  </w:t>
      </w:r>
      <w:r w:rsidRPr="00A43C13">
        <w:rPr>
          <w:rFonts w:ascii="华文中宋" w:eastAsia="华文中宋" w:hAnsi="华文中宋"/>
          <w:b/>
          <w:color w:val="2E5C8A"/>
          <w:sz w:val="24"/>
          <w:szCs w:val="24"/>
          <w:lang w:eastAsia="zh-CN"/>
        </w:rPr>
        <w:t>传统保险产品创新</w:t>
      </w:r>
    </w:p>
    <w:p w14:paraId="6AEEF6DA" w14:textId="77777777" w:rsidR="00BD5BB3" w:rsidRPr="00A43C13" w:rsidRDefault="002F692F">
      <w:pPr>
        <w:spacing w:after="80"/>
        <w:ind w:firstLine="48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sz w:val="24"/>
          <w:szCs w:val="24"/>
          <w:lang w:eastAsia="zh-CN"/>
        </w:rPr>
        <w:t>传统保险产品在本季度延续「保障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+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服务」融合创新主线，产品形态从单一财务补偿向综合服务方案加速演进。</w:t>
      </w:r>
    </w:p>
    <w:p w14:paraId="6C81014E" w14:textId="77777777" w:rsidR="00BD5BB3" w:rsidRPr="00A43C13" w:rsidRDefault="002F692F">
      <w:pPr>
        <w:spacing w:before="120" w:after="40"/>
        <w:rPr>
          <w:rFonts w:ascii="华文中宋" w:eastAsia="华文中宋" w:hAnsi="华文中宋"/>
          <w:sz w:val="24"/>
          <w:szCs w:val="24"/>
        </w:rPr>
      </w:pPr>
      <w:proofErr w:type="spellStart"/>
      <w:r w:rsidRPr="00A43C13">
        <w:rPr>
          <w:rFonts w:ascii="华文中宋" w:eastAsia="华文中宋" w:hAnsi="华文中宋"/>
          <w:b/>
          <w:sz w:val="24"/>
          <w:szCs w:val="24"/>
        </w:rPr>
        <w:t>寿险产品迭代</w:t>
      </w:r>
      <w:proofErr w:type="spellEnd"/>
    </w:p>
    <w:p w14:paraId="2C1BEDC5" w14:textId="77777777" w:rsidR="00BD5BB3" w:rsidRPr="00A43C13" w:rsidRDefault="002F692F">
      <w:pPr>
        <w:pStyle w:val="ListBullet"/>
        <w:spacing w:after="2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sz w:val="24"/>
          <w:szCs w:val="24"/>
          <w:lang w:eastAsia="zh-CN"/>
        </w:rPr>
        <w:t>重疾险引入「分层赔付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+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健康管理」机制，轻症中症重症阶梯式给付</w:t>
      </w:r>
    </w:p>
    <w:p w14:paraId="467D6FB7" w14:textId="77777777" w:rsidR="00BD5BB3" w:rsidRPr="00A43C13" w:rsidRDefault="002F692F">
      <w:pPr>
        <w:pStyle w:val="ListBullet"/>
        <w:spacing w:after="2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sz w:val="24"/>
          <w:szCs w:val="24"/>
          <w:lang w:eastAsia="zh-CN"/>
        </w:rPr>
        <w:t>定期寿险接入可穿戴设备，提供动态费率优惠</w:t>
      </w:r>
    </w:p>
    <w:p w14:paraId="55338E74" w14:textId="77777777" w:rsidR="00BD5BB3" w:rsidRPr="00A43C13" w:rsidRDefault="002F692F">
      <w:pPr>
        <w:pStyle w:val="ListBullet"/>
        <w:spacing w:after="2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sz w:val="24"/>
          <w:szCs w:val="24"/>
          <w:lang w:eastAsia="zh-CN"/>
        </w:rPr>
        <w:t>年金险增加万能账户灵活配置及年金转换功能</w:t>
      </w:r>
    </w:p>
    <w:p w14:paraId="35ECE337" w14:textId="77777777" w:rsidR="00BD5BB3" w:rsidRPr="00A43C13" w:rsidRDefault="002F692F">
      <w:pPr>
        <w:spacing w:before="120" w:after="40"/>
        <w:rPr>
          <w:rFonts w:ascii="华文中宋" w:eastAsia="华文中宋" w:hAnsi="华文中宋"/>
          <w:sz w:val="24"/>
          <w:szCs w:val="24"/>
        </w:rPr>
      </w:pPr>
      <w:proofErr w:type="spellStart"/>
      <w:r w:rsidRPr="00A43C13">
        <w:rPr>
          <w:rFonts w:ascii="华文中宋" w:eastAsia="华文中宋" w:hAnsi="华文中宋"/>
          <w:b/>
          <w:sz w:val="24"/>
          <w:szCs w:val="24"/>
        </w:rPr>
        <w:t>健康险产品动向</w:t>
      </w:r>
      <w:proofErr w:type="spellEnd"/>
    </w:p>
    <w:p w14:paraId="5BD57E1C" w14:textId="77777777" w:rsidR="00BD5BB3" w:rsidRPr="00A43C13" w:rsidRDefault="002F692F">
      <w:pPr>
        <w:pStyle w:val="ListBullet"/>
        <w:spacing w:after="2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sz w:val="24"/>
          <w:szCs w:val="24"/>
          <w:lang w:eastAsia="zh-CN"/>
        </w:rPr>
        <w:t>百万医疗险扩充特药保障与前沿疗法覆盖范围</w:t>
      </w:r>
    </w:p>
    <w:p w14:paraId="2853DCCD" w14:textId="77777777" w:rsidR="00BD5BB3" w:rsidRPr="00A43C13" w:rsidRDefault="002F692F">
      <w:pPr>
        <w:pStyle w:val="ListBullet"/>
        <w:spacing w:after="2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sz w:val="24"/>
          <w:szCs w:val="24"/>
          <w:lang w:eastAsia="zh-CN"/>
        </w:rPr>
        <w:t>长期护理险试点扩至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35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个城市，服务给付模式探索推进</w:t>
      </w:r>
    </w:p>
    <w:p w14:paraId="344A7C24" w14:textId="77777777" w:rsidR="00BD5BB3" w:rsidRPr="00A43C13" w:rsidRDefault="002F692F">
      <w:pPr>
        <w:pStyle w:val="ListBullet"/>
        <w:spacing w:after="2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sz w:val="24"/>
          <w:szCs w:val="24"/>
          <w:lang w:eastAsia="zh-CN"/>
        </w:rPr>
        <w:t>城市定制惠民保进入精细化运营阶段，续保率稳步提升</w:t>
      </w:r>
    </w:p>
    <w:p w14:paraId="2889387D" w14:textId="77777777" w:rsidR="00BD5BB3" w:rsidRPr="00A43C13" w:rsidRDefault="002F692F">
      <w:pPr>
        <w:spacing w:before="120" w:after="40"/>
        <w:rPr>
          <w:rFonts w:ascii="华文中宋" w:eastAsia="华文中宋" w:hAnsi="华文中宋"/>
          <w:sz w:val="24"/>
          <w:szCs w:val="24"/>
        </w:rPr>
      </w:pPr>
      <w:proofErr w:type="spellStart"/>
      <w:r w:rsidRPr="00A43C13">
        <w:rPr>
          <w:rFonts w:ascii="华文中宋" w:eastAsia="华文中宋" w:hAnsi="华文中宋"/>
          <w:b/>
          <w:sz w:val="24"/>
          <w:szCs w:val="24"/>
        </w:rPr>
        <w:t>创新亮点</w:t>
      </w:r>
      <w:proofErr w:type="spellEnd"/>
    </w:p>
    <w:p w14:paraId="3348CADC" w14:textId="77777777" w:rsidR="00BD5BB3" w:rsidRPr="00A43C13" w:rsidRDefault="002F692F">
      <w:pPr>
        <w:pStyle w:val="ListBullet"/>
        <w:spacing w:after="2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sz w:val="24"/>
          <w:szCs w:val="24"/>
          <w:lang w:eastAsia="zh-CN"/>
        </w:rPr>
        <w:t>「保险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+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健康管理」模式深化，超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65%</w:t>
      </w:r>
      <w:r w:rsidRPr="00A43C13">
        <w:rPr>
          <w:rFonts w:ascii="华文中宋" w:eastAsia="华文中宋" w:hAnsi="华文中宋"/>
          <w:sz w:val="24"/>
          <w:szCs w:val="24"/>
          <w:lang w:eastAsia="zh-CN"/>
        </w:rPr>
        <w:t>的新单健康险绑定健康管理服务</w:t>
      </w:r>
    </w:p>
    <w:p w14:paraId="0A9B1D49" w14:textId="77777777" w:rsidR="00BD5BB3" w:rsidRPr="00A43C13" w:rsidRDefault="002F692F">
      <w:pPr>
        <w:pStyle w:val="ListBullet"/>
        <w:spacing w:after="20"/>
        <w:rPr>
          <w:rFonts w:ascii="华文中宋" w:eastAsia="华文中宋" w:hAnsi="华文中宋"/>
          <w:sz w:val="24"/>
          <w:szCs w:val="24"/>
          <w:lang w:eastAsia="zh-CN"/>
        </w:rPr>
      </w:pPr>
      <w:r w:rsidRPr="00A43C13">
        <w:rPr>
          <w:rFonts w:ascii="华文中宋" w:eastAsia="华文中宋" w:hAnsi="华文中宋"/>
          <w:sz w:val="24"/>
          <w:szCs w:val="24"/>
          <w:lang w:eastAsia="zh-CN"/>
        </w:rPr>
        <w:t>分红型产品吸引力持续增强，多家公司推出分红型增额终身寿险新品</w:t>
      </w:r>
    </w:p>
    <w:p w14:paraId="7BBF384E" w14:textId="77777777" w:rsidR="00BD5BB3" w:rsidRDefault="002F692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产品定价精细化程度提升，大数据精准定价能力成为核心竞争力</w:t>
      </w:r>
    </w:p>
    <w:sectPr w:rsidR="00BD5BB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BB445" w14:textId="77777777" w:rsidR="002F692F" w:rsidRDefault="002F692F" w:rsidP="00CF049F">
      <w:pPr>
        <w:spacing w:after="0" w:line="240" w:lineRule="auto"/>
      </w:pPr>
      <w:r>
        <w:separator/>
      </w:r>
    </w:p>
  </w:endnote>
  <w:endnote w:type="continuationSeparator" w:id="0">
    <w:p w14:paraId="180459D8" w14:textId="77777777" w:rsidR="002F692F" w:rsidRDefault="002F692F" w:rsidP="00CF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300E" w14:textId="77777777" w:rsidR="00A43C13" w:rsidRDefault="00A43C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424A7" w14:textId="77777777" w:rsidR="00A43C13" w:rsidRDefault="00A43C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B105E" w14:textId="77777777" w:rsidR="00A43C13" w:rsidRDefault="00A43C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72273" w14:textId="77777777" w:rsidR="002F692F" w:rsidRDefault="002F692F" w:rsidP="00CF049F">
      <w:pPr>
        <w:spacing w:after="0" w:line="240" w:lineRule="auto"/>
      </w:pPr>
      <w:r>
        <w:separator/>
      </w:r>
    </w:p>
  </w:footnote>
  <w:footnote w:type="continuationSeparator" w:id="0">
    <w:p w14:paraId="2890672B" w14:textId="77777777" w:rsidR="002F692F" w:rsidRDefault="002F692F" w:rsidP="00CF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13F7" w14:textId="77777777" w:rsidR="00A43C13" w:rsidRDefault="00A43C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FB50D" w14:textId="77777777" w:rsidR="00A43C13" w:rsidRDefault="00A43C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743AB" w14:textId="77777777" w:rsidR="00A43C13" w:rsidRDefault="00A43C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739599">
    <w:abstractNumId w:val="8"/>
  </w:num>
  <w:num w:numId="2" w16cid:durableId="413361758">
    <w:abstractNumId w:val="6"/>
  </w:num>
  <w:num w:numId="3" w16cid:durableId="1677150437">
    <w:abstractNumId w:val="5"/>
  </w:num>
  <w:num w:numId="4" w16cid:durableId="605845350">
    <w:abstractNumId w:val="4"/>
  </w:num>
  <w:num w:numId="5" w16cid:durableId="1071778492">
    <w:abstractNumId w:val="7"/>
  </w:num>
  <w:num w:numId="6" w16cid:durableId="1095052033">
    <w:abstractNumId w:val="3"/>
  </w:num>
  <w:num w:numId="7" w16cid:durableId="69428177">
    <w:abstractNumId w:val="2"/>
  </w:num>
  <w:num w:numId="8" w16cid:durableId="1540122756">
    <w:abstractNumId w:val="1"/>
  </w:num>
  <w:num w:numId="9" w16cid:durableId="10184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723"/>
    <w:rsid w:val="0029639D"/>
    <w:rsid w:val="002F692F"/>
    <w:rsid w:val="00326F90"/>
    <w:rsid w:val="008B62BA"/>
    <w:rsid w:val="00A43C13"/>
    <w:rsid w:val="00A62F9A"/>
    <w:rsid w:val="00AA1D8D"/>
    <w:rsid w:val="00B47730"/>
    <w:rsid w:val="00BD5BB3"/>
    <w:rsid w:val="00CB0664"/>
    <w:rsid w:val="00CF04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8E6B0A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宋体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536</Words>
  <Characters>612</Characters>
  <Application>Microsoft Office Word</Application>
  <DocSecurity>0</DocSecurity>
  <Lines>43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Liping - Beijing-MR</cp:lastModifiedBy>
  <cp:revision>3</cp:revision>
  <dcterms:created xsi:type="dcterms:W3CDTF">2013-12-23T23:15:00Z</dcterms:created>
  <dcterms:modified xsi:type="dcterms:W3CDTF">2026-07-25T03:14:00Z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2026-07-20T05:57:19Z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2ff50364-238b-4f88-ab9c-493a9983db0e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  <property fmtid="{D5CDD505-2E9C-101B-9397-08002B2CF9AE}" pid="10" name="MSIP_Label_f45d0447-72b7-4595-8ee5-b32b4892557e_Enabled">
    <vt:lpwstr>true</vt:lpwstr>
  </property>
  <property fmtid="{D5CDD505-2E9C-101B-9397-08002B2CF9AE}" pid="11" name="MSIP_Label_f45d0447-72b7-4595-8ee5-b32b4892557e_SetDate">
    <vt:lpwstr>2026-07-25T03:13:28Z</vt:lpwstr>
  </property>
  <property fmtid="{D5CDD505-2E9C-101B-9397-08002B2CF9AE}" pid="12" name="MSIP_Label_f45d0447-72b7-4595-8ee5-b32b4892557e_Method">
    <vt:lpwstr>Privileged</vt:lpwstr>
  </property>
  <property fmtid="{D5CDD505-2E9C-101B-9397-08002B2CF9AE}" pid="13" name="MSIP_Label_f45d0447-72b7-4595-8ee5-b32b4892557e_Name">
    <vt:lpwstr>f45d0447-72b7-4595-8ee5-b32b4892557e</vt:lpwstr>
  </property>
  <property fmtid="{D5CDD505-2E9C-101B-9397-08002B2CF9AE}" pid="14" name="MSIP_Label_f45d0447-72b7-4595-8ee5-b32b4892557e_SiteId">
    <vt:lpwstr>582259a1-dcaa-4cca-b1cf-e60d3f045ecd</vt:lpwstr>
  </property>
  <property fmtid="{D5CDD505-2E9C-101B-9397-08002B2CF9AE}" pid="15" name="MSIP_Label_f45d0447-72b7-4595-8ee5-b32b4892557e_ActionId">
    <vt:lpwstr>0fcf961d-1179-4767-8e8b-1297aa4e972a</vt:lpwstr>
  </property>
  <property fmtid="{D5CDD505-2E9C-101B-9397-08002B2CF9AE}" pid="16" name="MSIP_Label_f45d0447-72b7-4595-8ee5-b32b4892557e_ContentBits">
    <vt:lpwstr>0</vt:lpwstr>
  </property>
  <property fmtid="{D5CDD505-2E9C-101B-9397-08002B2CF9AE}" pid="17" name="MSIP_Label_f45d0447-72b7-4595-8ee5-b32b4892557e_Tag">
    <vt:lpwstr>10, 0, 1, 1</vt:lpwstr>
  </property>
</Properties>
</file>