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1A6C" w14:textId="77777777" w:rsidR="0050445C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6.2  </w:t>
      </w:r>
      <w:r>
        <w:rPr>
          <w:rFonts w:ascii="Arial" w:eastAsia="黑体" w:hAnsi="Arial"/>
          <w:b/>
          <w:color w:val="2E5C8A"/>
          <w:sz w:val="28"/>
          <w:lang w:eastAsia="zh-CN"/>
        </w:rPr>
        <w:t>理赔服务效率</w:t>
      </w:r>
    </w:p>
    <w:p w14:paraId="0B1C8AE3" w14:textId="77777777" w:rsidR="0050445C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理赔服务质量与效率持续提升，客户体验改善明显。科技赋能推动理赔流程智能化升级。</w:t>
      </w:r>
    </w:p>
    <w:p w14:paraId="6108DE49" w14:textId="77777777" w:rsidR="0050445C" w:rsidRDefault="00000000">
      <w:pPr>
        <w:spacing w:before="120" w:after="40"/>
      </w:pPr>
      <w:r>
        <w:rPr>
          <w:b/>
        </w:rPr>
        <w:t>理赔时效指标</w:t>
      </w:r>
    </w:p>
    <w:p w14:paraId="2C447CB9" w14:textId="77777777" w:rsidR="0050445C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案均理赔周期缩短至</w:t>
      </w:r>
      <w:r>
        <w:rPr>
          <w:sz w:val="21"/>
          <w:lang w:eastAsia="zh-CN"/>
        </w:rPr>
        <w:t>2.5</w:t>
      </w:r>
      <w:r>
        <w:rPr>
          <w:sz w:val="21"/>
          <w:lang w:eastAsia="zh-CN"/>
        </w:rPr>
        <w:t>天，同比缩短</w:t>
      </w:r>
      <w:r>
        <w:rPr>
          <w:sz w:val="21"/>
          <w:lang w:eastAsia="zh-CN"/>
        </w:rPr>
        <w:t>0.6</w:t>
      </w:r>
      <w:r>
        <w:rPr>
          <w:sz w:val="21"/>
          <w:lang w:eastAsia="zh-CN"/>
        </w:rPr>
        <w:t>天</w:t>
      </w:r>
    </w:p>
    <w:p w14:paraId="5A7195C1" w14:textId="77777777" w:rsidR="0050445C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小额案件秒赔覆盖率升至</w:t>
      </w:r>
      <w:r>
        <w:rPr>
          <w:sz w:val="21"/>
          <w:lang w:eastAsia="zh-CN"/>
        </w:rPr>
        <w:t>42%</w:t>
      </w:r>
    </w:p>
    <w:p w14:paraId="528AF111" w14:textId="77777777" w:rsidR="0050445C" w:rsidRDefault="00000000">
      <w:pPr>
        <w:pStyle w:val="a0"/>
        <w:spacing w:after="20"/>
      </w:pPr>
      <w:r>
        <w:rPr>
          <w:sz w:val="21"/>
        </w:rPr>
        <w:t>理赔线上化率达</w:t>
      </w:r>
      <w:r>
        <w:rPr>
          <w:sz w:val="21"/>
        </w:rPr>
        <w:t>82%</w:t>
      </w:r>
    </w:p>
    <w:p w14:paraId="374EFEDB" w14:textId="77777777" w:rsidR="0050445C" w:rsidRDefault="00000000">
      <w:pPr>
        <w:jc w:val="center"/>
      </w:pPr>
      <w:r>
        <w:rPr>
          <w:noProof/>
        </w:rPr>
        <w:drawing>
          <wp:inline distT="0" distB="0" distL="0" distR="0" wp14:anchorId="65B63B52" wp14:editId="1B0EB0E7">
            <wp:extent cx="4754880" cy="26482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理赔时效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DDB0" w14:textId="77777777" w:rsidR="0050445C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9"/>
          <w:lang w:eastAsia="zh-CN"/>
        </w:rPr>
        <w:t>图</w:t>
      </w:r>
      <w:r>
        <w:rPr>
          <w:i/>
          <w:color w:val="666666"/>
          <w:sz w:val="19"/>
          <w:lang w:eastAsia="zh-CN"/>
        </w:rPr>
        <w:t>4</w:t>
      </w:r>
      <w:r>
        <w:rPr>
          <w:i/>
          <w:color w:val="666666"/>
          <w:sz w:val="19"/>
          <w:lang w:eastAsia="zh-CN"/>
        </w:rPr>
        <w:t>：</w:t>
      </w:r>
      <w:r>
        <w:rPr>
          <w:i/>
          <w:color w:val="666666"/>
          <w:sz w:val="19"/>
          <w:lang w:eastAsia="zh-CN"/>
        </w:rPr>
        <w:t>2024-2026</w:t>
      </w:r>
      <w:r>
        <w:rPr>
          <w:i/>
          <w:color w:val="666666"/>
          <w:sz w:val="19"/>
          <w:lang w:eastAsia="zh-CN"/>
        </w:rPr>
        <w:t>年理赔时效对比</w:t>
      </w:r>
    </w:p>
    <w:p w14:paraId="7FACA9BC" w14:textId="77777777" w:rsidR="0050445C" w:rsidRDefault="00000000">
      <w:pPr>
        <w:spacing w:before="120" w:after="40"/>
        <w:rPr>
          <w:lang w:eastAsia="zh-CN"/>
        </w:rPr>
      </w:pPr>
      <w:r>
        <w:rPr>
          <w:b/>
          <w:lang w:eastAsia="zh-CN"/>
        </w:rPr>
        <w:t>服务创新举措</w:t>
      </w:r>
    </w:p>
    <w:p w14:paraId="1DF89ACB" w14:textId="77777777" w:rsidR="0050445C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「闪赔」服务扩面，</w:t>
      </w:r>
      <w:r>
        <w:rPr>
          <w:sz w:val="21"/>
          <w:lang w:eastAsia="zh-CN"/>
        </w:rPr>
        <w:t>6,000</w:t>
      </w:r>
      <w:r>
        <w:rPr>
          <w:sz w:val="21"/>
          <w:lang w:eastAsia="zh-CN"/>
        </w:rPr>
        <w:t>元以下案件</w:t>
      </w:r>
      <w:r>
        <w:rPr>
          <w:sz w:val="21"/>
          <w:lang w:eastAsia="zh-CN"/>
        </w:rPr>
        <w:t>1</w:t>
      </w:r>
      <w:r>
        <w:rPr>
          <w:sz w:val="21"/>
          <w:lang w:eastAsia="zh-CN"/>
        </w:rPr>
        <w:t>小时内完成赔付</w:t>
      </w:r>
    </w:p>
    <w:p w14:paraId="65571D35" w14:textId="77777777" w:rsidR="0050445C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医疗险理赔医院直连直付试点扩至</w:t>
      </w:r>
      <w:r>
        <w:rPr>
          <w:sz w:val="21"/>
          <w:lang w:eastAsia="zh-CN"/>
        </w:rPr>
        <w:t>280</w:t>
      </w:r>
      <w:r>
        <w:rPr>
          <w:sz w:val="21"/>
          <w:lang w:eastAsia="zh-CN"/>
        </w:rPr>
        <w:t>家医院</w:t>
      </w:r>
    </w:p>
    <w:p w14:paraId="5A0874AF" w14:textId="77777777" w:rsidR="0050445C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理赔智能审核系统准确率达到</w:t>
      </w:r>
      <w:r>
        <w:rPr>
          <w:sz w:val="21"/>
          <w:lang w:eastAsia="zh-CN"/>
        </w:rPr>
        <w:t>94%</w:t>
      </w:r>
    </w:p>
    <w:p w14:paraId="11715623" w14:textId="77777777" w:rsidR="0050445C" w:rsidRDefault="00000000">
      <w:pPr>
        <w:spacing w:before="120" w:after="40"/>
      </w:pPr>
      <w:r>
        <w:rPr>
          <w:b/>
        </w:rPr>
        <w:t>客户体验</w:t>
      </w:r>
    </w:p>
    <w:p w14:paraId="44023A28" w14:textId="77777777" w:rsidR="0050445C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理赔客户满意度评分</w:t>
      </w:r>
      <w:r>
        <w:rPr>
          <w:sz w:val="21"/>
          <w:lang w:eastAsia="zh-CN"/>
        </w:rPr>
        <w:t>88.2</w:t>
      </w:r>
      <w:r>
        <w:rPr>
          <w:sz w:val="21"/>
          <w:lang w:eastAsia="zh-CN"/>
        </w:rPr>
        <w:t>分（满分</w:t>
      </w:r>
      <w:r>
        <w:rPr>
          <w:sz w:val="21"/>
          <w:lang w:eastAsia="zh-CN"/>
        </w:rPr>
        <w:t>100</w:t>
      </w:r>
      <w:r>
        <w:rPr>
          <w:sz w:val="21"/>
          <w:lang w:eastAsia="zh-CN"/>
        </w:rPr>
        <w:t>），同比提升</w:t>
      </w:r>
      <w:r>
        <w:rPr>
          <w:sz w:val="21"/>
          <w:lang w:eastAsia="zh-CN"/>
        </w:rPr>
        <w:t>2.8</w:t>
      </w:r>
      <w:r>
        <w:rPr>
          <w:sz w:val="21"/>
          <w:lang w:eastAsia="zh-CN"/>
        </w:rPr>
        <w:t>分</w:t>
      </w:r>
    </w:p>
    <w:p w14:paraId="247DE846" w14:textId="77777777" w:rsidR="0050445C" w:rsidRDefault="00000000">
      <w:pPr>
        <w:pStyle w:val="a0"/>
        <w:spacing w:after="20"/>
      </w:pPr>
      <w:r>
        <w:rPr>
          <w:sz w:val="21"/>
        </w:rPr>
        <w:t>投诉率降至万分之</w:t>
      </w:r>
      <w:r>
        <w:rPr>
          <w:sz w:val="21"/>
        </w:rPr>
        <w:t>2.8</w:t>
      </w:r>
    </w:p>
    <w:p w14:paraId="0D4493CF" w14:textId="77777777" w:rsidR="0050445C" w:rsidRPr="00B905A8" w:rsidRDefault="00000000">
      <w:pPr>
        <w:pStyle w:val="a0"/>
        <w:spacing w:after="20"/>
      </w:pPr>
      <w:r>
        <w:rPr>
          <w:sz w:val="21"/>
        </w:rPr>
        <w:t>重复购买率升至</w:t>
      </w:r>
      <w:r>
        <w:rPr>
          <w:sz w:val="21"/>
        </w:rPr>
        <w:t>43%</w:t>
      </w:r>
    </w:p>
    <w:p w14:paraId="1258C201" w14:textId="77777777" w:rsidR="00B905A8" w:rsidRDefault="00B905A8" w:rsidP="00B905A8">
      <w:pPr>
        <w:pStyle w:val="a0"/>
        <w:numPr>
          <w:ilvl w:val="0"/>
          <w:numId w:val="0"/>
        </w:numPr>
        <w:spacing w:after="20"/>
        <w:rPr>
          <w:rFonts w:hint="eastAsia"/>
        </w:rPr>
      </w:pPr>
    </w:p>
    <w:p w14:paraId="1E6E6193" w14:textId="77777777" w:rsidR="0050445C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3.3  </w:t>
      </w:r>
      <w:r>
        <w:rPr>
          <w:rFonts w:ascii="Arial" w:eastAsia="黑体" w:hAnsi="Arial"/>
          <w:b/>
          <w:color w:val="2E5C8A"/>
          <w:sz w:val="28"/>
          <w:lang w:eastAsia="zh-CN"/>
        </w:rPr>
        <w:t>中小险企市场份额</w:t>
      </w:r>
    </w:p>
    <w:p w14:paraId="0BA21734" w14:textId="77777777" w:rsidR="0050445C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行业集中度方面，头部险企份额延续小幅回落态势，中小险企在细分赛道的差异化竞争力进一步增强。</w:t>
      </w:r>
    </w:p>
    <w:p w14:paraId="6460CE5A" w14:textId="77777777" w:rsidR="0050445C" w:rsidRDefault="00000000">
      <w:pPr>
        <w:spacing w:before="120" w:after="40"/>
      </w:pPr>
      <w:r>
        <w:rPr>
          <w:b/>
        </w:rPr>
        <w:t>集中度变化</w:t>
      </w:r>
    </w:p>
    <w:p w14:paraId="70D92FD4" w14:textId="77777777" w:rsidR="0050445C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CR5</w:t>
      </w:r>
      <w:r>
        <w:rPr>
          <w:sz w:val="21"/>
          <w:lang w:eastAsia="zh-CN"/>
        </w:rPr>
        <w:t>（前五大险企）市场份额</w:t>
      </w:r>
      <w:r>
        <w:rPr>
          <w:sz w:val="21"/>
          <w:lang w:eastAsia="zh-CN"/>
        </w:rPr>
        <w:t>51.8%</w:t>
      </w:r>
      <w:r>
        <w:rPr>
          <w:sz w:val="21"/>
          <w:lang w:eastAsia="zh-CN"/>
        </w:rPr>
        <w:t>，较去年同期收窄</w:t>
      </w:r>
      <w:r>
        <w:rPr>
          <w:sz w:val="21"/>
          <w:lang w:eastAsia="zh-CN"/>
        </w:rPr>
        <w:t>1.0</w:t>
      </w:r>
      <w:r>
        <w:rPr>
          <w:sz w:val="21"/>
          <w:lang w:eastAsia="zh-CN"/>
        </w:rPr>
        <w:t>个百分点</w:t>
      </w:r>
    </w:p>
    <w:p w14:paraId="570CCFC0" w14:textId="77777777" w:rsidR="0050445C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lastRenderedPageBreak/>
        <w:t>CR10</w:t>
      </w:r>
      <w:r>
        <w:rPr>
          <w:sz w:val="21"/>
          <w:lang w:eastAsia="zh-CN"/>
        </w:rPr>
        <w:t>市场份额</w:t>
      </w:r>
      <w:r>
        <w:rPr>
          <w:sz w:val="21"/>
          <w:lang w:eastAsia="zh-CN"/>
        </w:rPr>
        <w:t>67.9%</w:t>
      </w:r>
      <w:r>
        <w:rPr>
          <w:sz w:val="21"/>
          <w:lang w:eastAsia="zh-CN"/>
        </w:rPr>
        <w:t>，较去年同期收窄</w:t>
      </w:r>
      <w:r>
        <w:rPr>
          <w:sz w:val="21"/>
          <w:lang w:eastAsia="zh-CN"/>
        </w:rPr>
        <w:t>0.8</w:t>
      </w:r>
      <w:r>
        <w:rPr>
          <w:sz w:val="21"/>
          <w:lang w:eastAsia="zh-CN"/>
        </w:rPr>
        <w:t>个百分点</w:t>
      </w:r>
    </w:p>
    <w:p w14:paraId="218ADCC8" w14:textId="77777777" w:rsidR="0050445C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中小险企在健康险、农险、责任险等细分领域的份额持续抬升</w:t>
      </w:r>
    </w:p>
    <w:p w14:paraId="6744AAF0" w14:textId="77777777" w:rsidR="0050445C" w:rsidRDefault="00000000">
      <w:pPr>
        <w:spacing w:before="120" w:after="40"/>
      </w:pPr>
      <w:r>
        <w:rPr>
          <w:b/>
        </w:rPr>
        <w:t>中小险企突围路径</w:t>
      </w:r>
    </w:p>
    <w:p w14:paraId="505EA190" w14:textId="77777777" w:rsidR="0050445C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锚定区域市场，深耕特定客群与细分场景</w:t>
      </w:r>
    </w:p>
    <w:p w14:paraId="5968EC20" w14:textId="77777777" w:rsidR="0050445C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依托科技赋能，运营效率持续改善</w:t>
      </w:r>
    </w:p>
    <w:p w14:paraId="29376729" w14:textId="77777777" w:rsidR="0050445C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深化与互联网平台合作，拓宽获客通道</w:t>
      </w:r>
    </w:p>
    <w:p w14:paraId="06485624" w14:textId="77777777" w:rsidR="00B905A8" w:rsidRDefault="00B905A8">
      <w:pPr>
        <w:spacing w:before="160" w:after="120"/>
        <w:rPr>
          <w:color w:val="AAAAAA"/>
          <w:sz w:val="18"/>
          <w:lang w:eastAsia="zh-CN"/>
        </w:rPr>
      </w:pPr>
    </w:p>
    <w:p w14:paraId="5CF55DFF" w14:textId="72176346" w:rsidR="0050445C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2.3  </w:t>
      </w:r>
      <w:r>
        <w:rPr>
          <w:rFonts w:ascii="Arial" w:eastAsia="黑体" w:hAnsi="Arial"/>
          <w:b/>
          <w:color w:val="2E5C8A"/>
          <w:sz w:val="28"/>
          <w:lang w:eastAsia="zh-CN"/>
        </w:rPr>
        <w:t>区域市场发展</w:t>
      </w:r>
    </w:p>
    <w:p w14:paraId="4C23EA56" w14:textId="77777777" w:rsidR="0050445C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区域发展不均衡是中国保险市场的一项长期特征。本季度数据显示，各区域保费增长延续分化格局，中西部增速继续领跑，区域协调发展成效逐步显现。</w:t>
      </w:r>
    </w:p>
    <w:p w14:paraId="1FBF6092" w14:textId="77777777" w:rsidR="00B905A8" w:rsidRDefault="00B905A8">
      <w:pPr>
        <w:spacing w:before="160" w:after="120"/>
        <w:rPr>
          <w:color w:val="AAAAAA"/>
          <w:sz w:val="18"/>
          <w:lang w:eastAsia="zh-CN"/>
        </w:rPr>
      </w:pPr>
    </w:p>
    <w:p w14:paraId="25727110" w14:textId="201D5129" w:rsidR="0050445C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5.2  </w:t>
      </w:r>
      <w:r>
        <w:rPr>
          <w:rFonts w:ascii="Arial" w:eastAsia="黑体" w:hAnsi="Arial"/>
          <w:b/>
          <w:color w:val="2E5C8A"/>
          <w:sz w:val="28"/>
          <w:lang w:eastAsia="zh-CN"/>
        </w:rPr>
        <w:t>线上渠道</w:t>
      </w:r>
    </w:p>
    <w:p w14:paraId="3268489B" w14:textId="77777777" w:rsidR="0050445C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线上渠道保持高速扩张，数字化转型进入收获期。三季度线上渠道保费占比首次突破</w:t>
      </w:r>
      <w:r>
        <w:rPr>
          <w:lang w:eastAsia="zh-CN"/>
        </w:rPr>
        <w:t>22%</w:t>
      </w:r>
      <w:r>
        <w:rPr>
          <w:lang w:eastAsia="zh-CN"/>
        </w:rPr>
        <w:t>，达</w:t>
      </w:r>
      <w:r>
        <w:rPr>
          <w:lang w:eastAsia="zh-CN"/>
        </w:rPr>
        <w:t>22.5%</w:t>
      </w:r>
      <w:r>
        <w:rPr>
          <w:lang w:eastAsia="zh-CN"/>
        </w:rPr>
        <w:t>，成为行业增长的关键引擎。</w:t>
      </w:r>
    </w:p>
    <w:sectPr w:rsidR="005044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48956" w14:textId="77777777" w:rsidR="001B559D" w:rsidRDefault="001B559D" w:rsidP="00B905A8">
      <w:pPr>
        <w:spacing w:after="0" w:line="240" w:lineRule="auto"/>
      </w:pPr>
      <w:r>
        <w:separator/>
      </w:r>
    </w:p>
  </w:endnote>
  <w:endnote w:type="continuationSeparator" w:id="0">
    <w:p w14:paraId="0877B0CA" w14:textId="77777777" w:rsidR="001B559D" w:rsidRDefault="001B559D" w:rsidP="00B90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0825A" w14:textId="77777777" w:rsidR="001B559D" w:rsidRDefault="001B559D" w:rsidP="00B905A8">
      <w:pPr>
        <w:spacing w:after="0" w:line="240" w:lineRule="auto"/>
      </w:pPr>
      <w:r>
        <w:separator/>
      </w:r>
    </w:p>
  </w:footnote>
  <w:footnote w:type="continuationSeparator" w:id="0">
    <w:p w14:paraId="4BB4DD49" w14:textId="77777777" w:rsidR="001B559D" w:rsidRDefault="001B559D" w:rsidP="00B90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446718">
    <w:abstractNumId w:val="8"/>
  </w:num>
  <w:num w:numId="2" w16cid:durableId="942226603">
    <w:abstractNumId w:val="6"/>
  </w:num>
  <w:num w:numId="3" w16cid:durableId="1061708459">
    <w:abstractNumId w:val="5"/>
  </w:num>
  <w:num w:numId="4" w16cid:durableId="1003318510">
    <w:abstractNumId w:val="4"/>
  </w:num>
  <w:num w:numId="5" w16cid:durableId="1328021790">
    <w:abstractNumId w:val="7"/>
  </w:num>
  <w:num w:numId="6" w16cid:durableId="207185359">
    <w:abstractNumId w:val="3"/>
  </w:num>
  <w:num w:numId="7" w16cid:durableId="1655833739">
    <w:abstractNumId w:val="2"/>
  </w:num>
  <w:num w:numId="8" w16cid:durableId="1333144863">
    <w:abstractNumId w:val="1"/>
  </w:num>
  <w:num w:numId="9" w16cid:durableId="5244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59D"/>
    <w:rsid w:val="0029639D"/>
    <w:rsid w:val="00326F90"/>
    <w:rsid w:val="0050445C"/>
    <w:rsid w:val="008B62BA"/>
    <w:rsid w:val="00AA1D8D"/>
    <w:rsid w:val="00B47730"/>
    <w:rsid w:val="00B905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A7D88C"/>
  <w14:defaultImageDpi w14:val="300"/>
  <w15:docId w15:val="{228C7E09-A542-4E78-BD92-1A856B8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Liping Zhang</cp:lastModifiedBy>
  <cp:revision>2</cp:revision>
  <dcterms:created xsi:type="dcterms:W3CDTF">2013-12-23T23:15:00Z</dcterms:created>
  <dcterms:modified xsi:type="dcterms:W3CDTF">2026-07-20T05:58:00Z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b80163-c6cf-4afe-a199-75bad8630663_Enabled">
    <vt:lpwstr>true</vt:lpwstr>
  </property>
  <property fmtid="{D5CDD505-2E9C-101B-9397-08002B2CF9AE}" pid="3" name="MSIP_Label_93b80163-c6cf-4afe-a199-75bad8630663_SetDate">
    <vt:lpwstr>2026-07-20T05:58:36Z</vt:lpwstr>
  </property>
  <property fmtid="{D5CDD505-2E9C-101B-9397-08002B2CF9AE}" pid="4" name="MSIP_Label_93b80163-c6cf-4afe-a199-75bad8630663_Method">
    <vt:lpwstr>Standard</vt:lpwstr>
  </property>
  <property fmtid="{D5CDD505-2E9C-101B-9397-08002B2CF9AE}" pid="5" name="MSIP_Label_93b80163-c6cf-4afe-a199-75bad8630663_Name">
    <vt:lpwstr>C4</vt:lpwstr>
  </property>
  <property fmtid="{D5CDD505-2E9C-101B-9397-08002B2CF9AE}" pid="6" name="MSIP_Label_93b80163-c6cf-4afe-a199-75bad8630663_SiteId">
    <vt:lpwstr>036145e5-89f4-4be7-8083-d1cbb255daf3</vt:lpwstr>
  </property>
  <property fmtid="{D5CDD505-2E9C-101B-9397-08002B2CF9AE}" pid="7" name="MSIP_Label_93b80163-c6cf-4afe-a199-75bad8630663_ActionId">
    <vt:lpwstr>268cf724-6c66-4ece-b769-3cc280269586</vt:lpwstr>
  </property>
  <property fmtid="{D5CDD505-2E9C-101B-9397-08002B2CF9AE}" pid="8" name="MSIP_Label_93b80163-c6cf-4afe-a199-75bad8630663_ContentBits">
    <vt:lpwstr>0</vt:lpwstr>
  </property>
  <property fmtid="{D5CDD505-2E9C-101B-9397-08002B2CF9AE}" pid="9" name="MSIP_Label_93b80163-c6cf-4afe-a199-75bad8630663_Tag">
    <vt:lpwstr>10, 3, 0, 1</vt:lpwstr>
  </property>
</Properties>
</file>