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D463" w14:textId="77777777" w:rsidR="00894480" w:rsidRDefault="003B515F">
      <w:pPr>
        <w:spacing w:before="240" w:after="120"/>
        <w:rPr>
          <w:lang w:eastAsia="zh-CN"/>
        </w:rPr>
      </w:pPr>
      <w:r>
        <w:rPr>
          <w:rFonts w:ascii="Arial" w:eastAsia="黑体" w:hAnsi="Arial"/>
          <w:b/>
          <w:color w:val="1F3864"/>
          <w:sz w:val="32"/>
          <w:lang w:eastAsia="zh-CN"/>
        </w:rPr>
        <w:t>第八章</w:t>
      </w:r>
      <w:r>
        <w:rPr>
          <w:rFonts w:ascii="Arial" w:eastAsia="黑体" w:hAnsi="Arial"/>
          <w:b/>
          <w:color w:val="1F3864"/>
          <w:sz w:val="32"/>
          <w:lang w:eastAsia="zh-CN"/>
        </w:rPr>
        <w:t xml:space="preserve">  </w:t>
      </w:r>
      <w:r>
        <w:rPr>
          <w:rFonts w:ascii="Arial" w:eastAsia="黑体" w:hAnsi="Arial"/>
          <w:b/>
          <w:color w:val="1F3864"/>
          <w:sz w:val="32"/>
          <w:lang w:eastAsia="zh-CN"/>
        </w:rPr>
        <w:t>趋势展望与策略建议</w:t>
      </w:r>
    </w:p>
    <w:p w14:paraId="6C8F9887" w14:textId="77777777" w:rsidR="00894480" w:rsidRDefault="003B515F">
      <w:pPr>
        <w:spacing w:after="80"/>
        <w:ind w:firstLine="480"/>
        <w:rPr>
          <w:lang w:eastAsia="zh-CN"/>
        </w:rPr>
      </w:pPr>
      <w:r>
        <w:rPr>
          <w:lang w:eastAsia="zh-CN"/>
        </w:rPr>
        <w:t>展望</w:t>
      </w:r>
      <w:r>
        <w:rPr>
          <w:lang w:eastAsia="zh-CN"/>
        </w:rPr>
        <w:t>2026</w:t>
      </w:r>
      <w:r>
        <w:rPr>
          <w:lang w:eastAsia="zh-CN"/>
        </w:rPr>
        <w:t>年第四季度及</w:t>
      </w:r>
      <w:r>
        <w:rPr>
          <w:lang w:eastAsia="zh-CN"/>
        </w:rPr>
        <w:t>2027</w:t>
      </w:r>
      <w:r>
        <w:rPr>
          <w:lang w:eastAsia="zh-CN"/>
        </w:rPr>
        <w:t>年，保险行业有望延续平稳发展态势，同时面临多重机遇与挑战。本报告基于季度调研数据，提出以下趋势研判与策略建议。</w:t>
      </w:r>
    </w:p>
    <w:p w14:paraId="5BDB6695" w14:textId="77777777" w:rsidR="00894480" w:rsidRDefault="003B515F">
      <w:pPr>
        <w:spacing w:before="120" w:after="40"/>
      </w:pPr>
      <w:proofErr w:type="spellStart"/>
      <w:r>
        <w:rPr>
          <w:b/>
        </w:rPr>
        <w:t>行业趋势研判</w:t>
      </w:r>
      <w:proofErr w:type="spellEnd"/>
    </w:p>
    <w:p w14:paraId="0AFB3F91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保费增速有望维持在</w:t>
      </w:r>
      <w:r>
        <w:rPr>
          <w:sz w:val="21"/>
          <w:lang w:eastAsia="zh-CN"/>
        </w:rPr>
        <w:t>6%-8%</w:t>
      </w:r>
      <w:r>
        <w:rPr>
          <w:sz w:val="21"/>
          <w:lang w:eastAsia="zh-CN"/>
        </w:rPr>
        <w:t>区间，业务结构持续向保障型倾斜</w:t>
      </w:r>
    </w:p>
    <w:p w14:paraId="63C2648E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低利率格局短期难以逆转，资产负债匹配管理仍是经营核心命题</w:t>
      </w:r>
    </w:p>
    <w:p w14:paraId="33989558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数字化转型步入收获期，科技投入的边际产出持续改善</w:t>
      </w:r>
    </w:p>
    <w:p w14:paraId="7FA6312C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养老保险市场扩容提速，第三支柱发展空间逐步打开</w:t>
      </w:r>
    </w:p>
    <w:p w14:paraId="25B96DE1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绿色保险与可持续发展相关产品迎来政策红利窗口</w:t>
      </w:r>
    </w:p>
    <w:p w14:paraId="55B9252E" w14:textId="77777777" w:rsidR="00894480" w:rsidRDefault="003B515F">
      <w:pPr>
        <w:spacing w:before="120" w:after="40"/>
      </w:pPr>
      <w:proofErr w:type="spellStart"/>
      <w:r>
        <w:rPr>
          <w:b/>
        </w:rPr>
        <w:t>经营策略建议</w:t>
      </w:r>
      <w:proofErr w:type="spellEnd"/>
    </w:p>
    <w:p w14:paraId="3AD44AC0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调优产品矩阵：压降低定价利率产品比重，加大分红险、万能险布局力度</w:t>
      </w:r>
    </w:p>
    <w:p w14:paraId="7D4476F2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深化渠道变革：推动代理人队伍专业化、银保渠道价值化、线上渠道规模化</w:t>
      </w:r>
    </w:p>
    <w:p w14:paraId="469421E4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筑牢风控防线：健全资产负债管理框架，增强极端情景应对韧性</w:t>
      </w:r>
    </w:p>
    <w:p w14:paraId="3BE50AF5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加码科技投入：推动</w:t>
      </w:r>
      <w:r>
        <w:rPr>
          <w:sz w:val="21"/>
          <w:lang w:eastAsia="zh-CN"/>
        </w:rPr>
        <w:t>AI</w:t>
      </w:r>
      <w:r>
        <w:rPr>
          <w:sz w:val="21"/>
          <w:lang w:eastAsia="zh-CN"/>
        </w:rPr>
        <w:t>、大数据在核保、理赔、客服等核心环节的纵深应用</w:t>
      </w:r>
    </w:p>
    <w:p w14:paraId="5CE23EC1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拓展生态协同：与医疗、养老、健康管理等领域共建服务生态圈</w:t>
      </w:r>
    </w:p>
    <w:p w14:paraId="6E8E6593" w14:textId="77777777" w:rsidR="00894480" w:rsidRDefault="003B515F">
      <w:pPr>
        <w:spacing w:before="120" w:after="40"/>
      </w:pPr>
      <w:proofErr w:type="spellStart"/>
      <w:r>
        <w:rPr>
          <w:b/>
        </w:rPr>
        <w:t>主要风险</w:t>
      </w:r>
      <w:proofErr w:type="spellEnd"/>
    </w:p>
    <w:p w14:paraId="67DBB515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利率长期低位运行或加剧利差损风险暴露</w:t>
      </w:r>
    </w:p>
    <w:p w14:paraId="72BECA0E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资本市场震荡对投资端收益构成压力</w:t>
      </w:r>
    </w:p>
    <w:p w14:paraId="1C5A7CB7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极端天气频发考验巨灾保险体系承压能力</w:t>
      </w:r>
    </w:p>
    <w:p w14:paraId="566F353F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监管规则调整可能重塑部分业务模式</w:t>
      </w:r>
    </w:p>
    <w:p w14:paraId="035A97A5" w14:textId="77777777" w:rsidR="00894480" w:rsidRDefault="003B515F">
      <w:pPr>
        <w:spacing w:after="80"/>
        <w:ind w:firstLine="480"/>
        <w:rPr>
          <w:lang w:eastAsia="zh-CN"/>
        </w:rPr>
      </w:pPr>
      <w:r>
        <w:rPr>
          <w:lang w:eastAsia="zh-CN"/>
        </w:rPr>
        <w:t>总体而言，</w:t>
      </w:r>
      <w:r>
        <w:rPr>
          <w:lang w:eastAsia="zh-CN"/>
        </w:rPr>
        <w:t>2026</w:t>
      </w:r>
      <w:r>
        <w:rPr>
          <w:lang w:eastAsia="zh-CN"/>
        </w:rPr>
        <w:t>年第三季度中国保险行业保持稳健运行。在宏观经济温和修复、政策环境持续优化的背景下，行业正经历从规模扩张向质量提升的深刻转型。险企需把握数字化转型、养老保险扩容、绿色保险发展等结构性机遇，同时做好利率风险、市场风险和操作风险的防范，推动高质量发展。</w:t>
      </w:r>
    </w:p>
    <w:p w14:paraId="6AAC08D0" w14:textId="77777777" w:rsidR="003C141F" w:rsidRDefault="003C141F">
      <w:pPr>
        <w:spacing w:before="160" w:after="120"/>
        <w:rPr>
          <w:color w:val="AAAAAA"/>
          <w:sz w:val="18"/>
          <w:lang w:eastAsia="zh-CN"/>
        </w:rPr>
      </w:pPr>
    </w:p>
    <w:p w14:paraId="30965888" w14:textId="4B3C7D9F" w:rsidR="00894480" w:rsidRDefault="003B515F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4.4  </w:t>
      </w:r>
      <w:r>
        <w:rPr>
          <w:rFonts w:ascii="Arial" w:eastAsia="黑体" w:hAnsi="Arial"/>
          <w:b/>
          <w:color w:val="2E5C8A"/>
          <w:sz w:val="28"/>
          <w:lang w:eastAsia="zh-CN"/>
        </w:rPr>
        <w:t>再保险市场动态</w:t>
      </w:r>
    </w:p>
    <w:p w14:paraId="12CF167A" w14:textId="77777777" w:rsidR="00894480" w:rsidRDefault="003B515F">
      <w:pPr>
        <w:spacing w:after="80"/>
        <w:ind w:firstLine="480"/>
        <w:rPr>
          <w:lang w:eastAsia="zh-CN"/>
        </w:rPr>
      </w:pPr>
      <w:r>
        <w:rPr>
          <w:lang w:eastAsia="zh-CN"/>
        </w:rPr>
        <w:t>本季度再保险市场运行平稳，分保需求稳步释放，创新风险转移工具应用范围持续扩大。</w:t>
      </w:r>
    </w:p>
    <w:p w14:paraId="2D9DFB39" w14:textId="77777777" w:rsidR="00894480" w:rsidRDefault="003B515F">
      <w:pPr>
        <w:spacing w:before="120" w:after="40"/>
      </w:pPr>
      <w:proofErr w:type="spellStart"/>
      <w:r>
        <w:rPr>
          <w:b/>
        </w:rPr>
        <w:t>市场运行概况</w:t>
      </w:r>
      <w:proofErr w:type="spellEnd"/>
    </w:p>
    <w:p w14:paraId="20BB7654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分出保费规模约</w:t>
      </w:r>
      <w:r>
        <w:rPr>
          <w:sz w:val="21"/>
          <w:lang w:eastAsia="zh-CN"/>
        </w:rPr>
        <w:t>1,320</w:t>
      </w:r>
      <w:r>
        <w:rPr>
          <w:sz w:val="21"/>
          <w:lang w:eastAsia="zh-CN"/>
        </w:rPr>
        <w:t>亿元，同比扩张</w:t>
      </w:r>
      <w:r>
        <w:rPr>
          <w:sz w:val="21"/>
          <w:lang w:eastAsia="zh-CN"/>
        </w:rPr>
        <w:t>5.2%</w:t>
      </w:r>
    </w:p>
    <w:p w14:paraId="52B725F8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再保险交易对手集中度进一步走低，多元化格局更加明显</w:t>
      </w:r>
    </w:p>
    <w:p w14:paraId="57387070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巨灾再保险安排覆盖面持续拓宽</w:t>
      </w:r>
    </w:p>
    <w:p w14:paraId="2B3E4E42" w14:textId="77777777" w:rsidR="00894480" w:rsidRDefault="003B515F">
      <w:pPr>
        <w:spacing w:before="120" w:after="40"/>
      </w:pPr>
      <w:proofErr w:type="spellStart"/>
      <w:r>
        <w:rPr>
          <w:b/>
        </w:rPr>
        <w:t>创新与挑战并存</w:t>
      </w:r>
      <w:proofErr w:type="spellEnd"/>
    </w:p>
    <w:p w14:paraId="104CFE17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巨灾债券发行规模同比扩张</w:t>
      </w:r>
      <w:r>
        <w:rPr>
          <w:sz w:val="21"/>
          <w:lang w:eastAsia="zh-CN"/>
        </w:rPr>
        <w:t>35%</w:t>
      </w:r>
      <w:r>
        <w:rPr>
          <w:sz w:val="21"/>
          <w:lang w:eastAsia="zh-CN"/>
        </w:rPr>
        <w:t>，风险分散渠道拓宽</w:t>
      </w:r>
    </w:p>
    <w:p w14:paraId="74BC7019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lastRenderedPageBreak/>
        <w:t>再保险数字化交易平台建设取得阶段性突破</w:t>
      </w:r>
    </w:p>
    <w:p w14:paraId="7C2574AD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极端天气事件增多对巨灾风险管理体系构成新考验</w:t>
      </w:r>
    </w:p>
    <w:p w14:paraId="3FEBE1E8" w14:textId="77777777" w:rsidR="003C141F" w:rsidRDefault="003C141F">
      <w:pPr>
        <w:spacing w:before="160" w:after="120"/>
        <w:rPr>
          <w:color w:val="AAAAAA"/>
          <w:sz w:val="18"/>
          <w:lang w:eastAsia="zh-CN"/>
        </w:rPr>
      </w:pPr>
    </w:p>
    <w:p w14:paraId="6AA97A43" w14:textId="64DAFB69" w:rsidR="00894480" w:rsidRDefault="003B515F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2.3.1  </w:t>
      </w:r>
      <w:r>
        <w:rPr>
          <w:rFonts w:ascii="Arial" w:eastAsia="黑体" w:hAnsi="Arial"/>
          <w:b/>
          <w:color w:val="404040"/>
          <w:sz w:val="25"/>
          <w:lang w:eastAsia="zh-CN"/>
        </w:rPr>
        <w:t>区域保费分布特征</w:t>
      </w:r>
    </w:p>
    <w:p w14:paraId="02C44864" w14:textId="77777777" w:rsidR="00894480" w:rsidRDefault="003B515F">
      <w:pPr>
        <w:spacing w:before="120" w:after="40"/>
        <w:rPr>
          <w:lang w:eastAsia="zh-CN"/>
        </w:rPr>
      </w:pPr>
      <w:r>
        <w:rPr>
          <w:b/>
          <w:lang w:eastAsia="zh-CN"/>
        </w:rPr>
        <w:t>区域分化图谱</w:t>
      </w:r>
    </w:p>
    <w:p w14:paraId="3F19D4F5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东部沿海地区保费份额降至</w:t>
      </w:r>
      <w:r>
        <w:rPr>
          <w:sz w:val="21"/>
          <w:lang w:eastAsia="zh-CN"/>
        </w:rPr>
        <w:t>57.5%</w:t>
      </w:r>
      <w:r>
        <w:rPr>
          <w:sz w:val="21"/>
          <w:lang w:eastAsia="zh-CN"/>
        </w:rPr>
        <w:t>，较二季度收窄</w:t>
      </w:r>
      <w:r>
        <w:rPr>
          <w:sz w:val="21"/>
          <w:lang w:eastAsia="zh-CN"/>
        </w:rPr>
        <w:t>0.8</w:t>
      </w:r>
      <w:r>
        <w:rPr>
          <w:sz w:val="21"/>
          <w:lang w:eastAsia="zh-CN"/>
        </w:rPr>
        <w:t>个百分点，增速放缓至</w:t>
      </w:r>
      <w:r>
        <w:rPr>
          <w:sz w:val="21"/>
          <w:lang w:eastAsia="zh-CN"/>
        </w:rPr>
        <w:t>4.8%</w:t>
      </w:r>
    </w:p>
    <w:p w14:paraId="5D0B906C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中部地区保费增速领跑全国，同比扩张</w:t>
      </w:r>
      <w:r>
        <w:rPr>
          <w:sz w:val="21"/>
          <w:lang w:eastAsia="zh-CN"/>
        </w:rPr>
        <w:t>8.5%</w:t>
      </w:r>
      <w:r>
        <w:rPr>
          <w:sz w:val="21"/>
          <w:lang w:eastAsia="zh-CN"/>
        </w:rPr>
        <w:t>，份额提升至</w:t>
      </w:r>
      <w:r>
        <w:rPr>
          <w:sz w:val="21"/>
          <w:lang w:eastAsia="zh-CN"/>
        </w:rPr>
        <w:t>22.8%</w:t>
      </w:r>
    </w:p>
    <w:p w14:paraId="1FB072C7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西部地区维持稳健增长，同比扩张</w:t>
      </w:r>
      <w:r>
        <w:rPr>
          <w:sz w:val="21"/>
          <w:lang w:eastAsia="zh-CN"/>
        </w:rPr>
        <w:t>7.6%</w:t>
      </w:r>
      <w:r>
        <w:rPr>
          <w:sz w:val="21"/>
          <w:lang w:eastAsia="zh-CN"/>
        </w:rPr>
        <w:t>，政策性农险贡献突出</w:t>
      </w:r>
    </w:p>
    <w:p w14:paraId="4F2FF337" w14:textId="77777777" w:rsidR="00894480" w:rsidRDefault="003B515F">
      <w:pPr>
        <w:spacing w:before="120" w:after="40"/>
      </w:pPr>
      <w:proofErr w:type="spellStart"/>
      <w:r>
        <w:rPr>
          <w:b/>
        </w:rPr>
        <w:t>城乡结构差异</w:t>
      </w:r>
      <w:proofErr w:type="spellEnd"/>
    </w:p>
    <w:p w14:paraId="7D926449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一线城市人均保费支出达</w:t>
      </w:r>
      <w:r>
        <w:rPr>
          <w:sz w:val="21"/>
          <w:lang w:eastAsia="zh-CN"/>
        </w:rPr>
        <w:t>6,500</w:t>
      </w:r>
      <w:r>
        <w:rPr>
          <w:sz w:val="21"/>
          <w:lang w:eastAsia="zh-CN"/>
        </w:rPr>
        <w:t>元，保险密度显著高于全国均值</w:t>
      </w:r>
    </w:p>
    <w:p w14:paraId="741E4684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县域及农村市场渗透率升至</w:t>
      </w:r>
      <w:r>
        <w:rPr>
          <w:sz w:val="21"/>
          <w:lang w:eastAsia="zh-CN"/>
        </w:rPr>
        <w:t>16.8%</w:t>
      </w:r>
      <w:r>
        <w:rPr>
          <w:sz w:val="21"/>
          <w:lang w:eastAsia="zh-CN"/>
        </w:rPr>
        <w:t>，增速达</w:t>
      </w:r>
      <w:r>
        <w:rPr>
          <w:sz w:val="21"/>
          <w:lang w:eastAsia="zh-CN"/>
        </w:rPr>
        <w:t>11.2%</w:t>
      </w:r>
      <w:r>
        <w:rPr>
          <w:sz w:val="21"/>
          <w:lang w:eastAsia="zh-CN"/>
        </w:rPr>
        <w:t>，下沉潜力持续释放</w:t>
      </w:r>
    </w:p>
    <w:p w14:paraId="48843BDA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县域专属产品供给增加，普惠型保险覆盖面进一步拓宽</w:t>
      </w:r>
    </w:p>
    <w:p w14:paraId="13F8E474" w14:textId="77777777" w:rsidR="00894480" w:rsidRDefault="003B515F">
      <w:pPr>
        <w:spacing w:after="80"/>
        <w:ind w:firstLine="480"/>
        <w:rPr>
          <w:lang w:eastAsia="zh-CN"/>
        </w:rPr>
      </w:pPr>
      <w:r>
        <w:rPr>
          <w:lang w:eastAsia="zh-CN"/>
        </w:rPr>
        <w:t>区域市场的差异化特征要求险企采取分层策略：在发达地区聚焦产品创新与服务升级，在欠发达地区着力渠道下沉与普惠保险推广。</w:t>
      </w:r>
    </w:p>
    <w:p w14:paraId="408FEC88" w14:textId="77777777" w:rsidR="003C141F" w:rsidRDefault="003C141F">
      <w:pPr>
        <w:spacing w:before="240" w:after="120"/>
        <w:rPr>
          <w:color w:val="AAAAAA"/>
          <w:sz w:val="18"/>
          <w:lang w:eastAsia="zh-CN"/>
        </w:rPr>
      </w:pPr>
    </w:p>
    <w:p w14:paraId="13B42C4C" w14:textId="77777777" w:rsidR="00894480" w:rsidRDefault="003B515F">
      <w:pPr>
        <w:spacing w:before="240" w:after="120"/>
        <w:rPr>
          <w:lang w:eastAsia="zh-CN"/>
        </w:rPr>
      </w:pPr>
      <w:r>
        <w:rPr>
          <w:rFonts w:ascii="Arial" w:eastAsia="黑体" w:hAnsi="Arial"/>
          <w:b/>
          <w:color w:val="1F3864"/>
          <w:sz w:val="32"/>
          <w:lang w:eastAsia="zh-CN"/>
        </w:rPr>
        <w:t>第七章</w:t>
      </w:r>
      <w:r>
        <w:rPr>
          <w:rFonts w:ascii="Arial" w:eastAsia="黑体" w:hAnsi="Arial"/>
          <w:b/>
          <w:color w:val="1F3864"/>
          <w:sz w:val="32"/>
          <w:lang w:eastAsia="zh-CN"/>
        </w:rPr>
        <w:t xml:space="preserve">  </w:t>
      </w:r>
      <w:r>
        <w:rPr>
          <w:rFonts w:ascii="Arial" w:eastAsia="黑体" w:hAnsi="Arial"/>
          <w:b/>
          <w:color w:val="1F3864"/>
          <w:sz w:val="32"/>
          <w:lang w:eastAsia="zh-CN"/>
        </w:rPr>
        <w:t>行业竞争格局</w:t>
      </w:r>
    </w:p>
    <w:p w14:paraId="021420CD" w14:textId="77777777" w:rsidR="00894480" w:rsidRDefault="003B515F">
      <w:pPr>
        <w:spacing w:after="80"/>
        <w:ind w:firstLine="480"/>
        <w:rPr>
          <w:lang w:eastAsia="zh-CN"/>
        </w:rPr>
      </w:pPr>
      <w:r>
        <w:rPr>
          <w:lang w:eastAsia="zh-CN"/>
        </w:rPr>
        <w:t>本季度保险行业竞争格局延续「头部稳健、腰部分化、尾部出清」态势。市场集中度小幅下降，但头部险企领先地位依然稳固。</w:t>
      </w:r>
    </w:p>
    <w:p w14:paraId="593B0CFF" w14:textId="77777777" w:rsidR="00894480" w:rsidRDefault="003B515F">
      <w:pPr>
        <w:spacing w:before="120" w:after="40"/>
      </w:pPr>
      <w:proofErr w:type="spellStart"/>
      <w:r>
        <w:rPr>
          <w:b/>
        </w:rPr>
        <w:t>集中度变化</w:t>
      </w:r>
      <w:proofErr w:type="spellEnd"/>
    </w:p>
    <w:p w14:paraId="496E7924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人身险市场</w:t>
      </w:r>
      <w:r>
        <w:rPr>
          <w:sz w:val="21"/>
          <w:lang w:eastAsia="zh-CN"/>
        </w:rPr>
        <w:t>CR5</w:t>
      </w:r>
      <w:r>
        <w:rPr>
          <w:sz w:val="21"/>
          <w:lang w:eastAsia="zh-CN"/>
        </w:rPr>
        <w:t>为</w:t>
      </w:r>
      <w:r>
        <w:rPr>
          <w:sz w:val="21"/>
          <w:lang w:eastAsia="zh-CN"/>
        </w:rPr>
        <w:t>53.7%</w:t>
      </w:r>
      <w:r>
        <w:rPr>
          <w:sz w:val="21"/>
          <w:lang w:eastAsia="zh-CN"/>
        </w:rPr>
        <w:t>，较去年同期下降</w:t>
      </w:r>
      <w:r>
        <w:rPr>
          <w:sz w:val="21"/>
          <w:lang w:eastAsia="zh-CN"/>
        </w:rPr>
        <w:t>0.5</w:t>
      </w:r>
      <w:r>
        <w:rPr>
          <w:sz w:val="21"/>
          <w:lang w:eastAsia="zh-CN"/>
        </w:rPr>
        <w:t>个百分点</w:t>
      </w:r>
    </w:p>
    <w:p w14:paraId="2E2A3724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财产险市场</w:t>
      </w:r>
      <w:r>
        <w:rPr>
          <w:sz w:val="21"/>
          <w:lang w:eastAsia="zh-CN"/>
        </w:rPr>
        <w:t>CR5</w:t>
      </w:r>
      <w:r>
        <w:rPr>
          <w:sz w:val="21"/>
          <w:lang w:eastAsia="zh-CN"/>
        </w:rPr>
        <w:t>为</w:t>
      </w:r>
      <w:r>
        <w:rPr>
          <w:sz w:val="21"/>
          <w:lang w:eastAsia="zh-CN"/>
        </w:rPr>
        <w:t>63.2%</w:t>
      </w:r>
      <w:r>
        <w:rPr>
          <w:sz w:val="21"/>
          <w:lang w:eastAsia="zh-CN"/>
        </w:rPr>
        <w:t>，较去年同期下降</w:t>
      </w:r>
      <w:r>
        <w:rPr>
          <w:sz w:val="21"/>
          <w:lang w:eastAsia="zh-CN"/>
        </w:rPr>
        <w:t>0.6</w:t>
      </w:r>
      <w:r>
        <w:rPr>
          <w:sz w:val="21"/>
          <w:lang w:eastAsia="zh-CN"/>
        </w:rPr>
        <w:t>个百分点</w:t>
      </w:r>
    </w:p>
    <w:p w14:paraId="24922A7C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中小险企份额分化加剧，部分公司实现逆势扩张</w:t>
      </w:r>
    </w:p>
    <w:p w14:paraId="167498B0" w14:textId="77777777" w:rsidR="00894480" w:rsidRDefault="003B515F">
      <w:pPr>
        <w:spacing w:before="80" w:after="40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>3</w:t>
      </w:r>
      <w:r>
        <w:rPr>
          <w:b/>
          <w:sz w:val="21"/>
          <w:lang w:eastAsia="zh-CN"/>
        </w:rPr>
        <w:t>：</w:t>
      </w:r>
      <w:r>
        <w:rPr>
          <w:b/>
          <w:sz w:val="21"/>
          <w:lang w:eastAsia="zh-CN"/>
        </w:rPr>
        <w:t>2026</w:t>
      </w:r>
      <w:r>
        <w:rPr>
          <w:b/>
          <w:sz w:val="21"/>
          <w:lang w:eastAsia="zh-CN"/>
        </w:rPr>
        <w:t>年</w:t>
      </w:r>
      <w:r>
        <w:rPr>
          <w:b/>
          <w:sz w:val="21"/>
          <w:lang w:eastAsia="zh-CN"/>
        </w:rPr>
        <w:t>Q3</w:t>
      </w:r>
      <w:r>
        <w:rPr>
          <w:b/>
          <w:sz w:val="21"/>
          <w:lang w:eastAsia="zh-CN"/>
        </w:rPr>
        <w:t>主要保险公司保费收入排名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94480" w14:paraId="2BB14C87" w14:textId="77777777" w:rsidTr="00894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124FE9" w14:textId="77777777" w:rsidR="00894480" w:rsidRDefault="003B515F">
            <w:pPr>
              <w:jc w:val="center"/>
            </w:pPr>
            <w:proofErr w:type="spellStart"/>
            <w:r>
              <w:rPr>
                <w:rFonts w:ascii="Arial" w:eastAsia="黑体" w:hAnsi="Arial"/>
                <w:sz w:val="21"/>
              </w:rPr>
              <w:t>排名</w:t>
            </w:r>
            <w:proofErr w:type="spellEnd"/>
          </w:p>
        </w:tc>
        <w:tc>
          <w:tcPr>
            <w:tcW w:w="1728" w:type="dxa"/>
          </w:tcPr>
          <w:p w14:paraId="63906B6B" w14:textId="77777777" w:rsidR="00894480" w:rsidRDefault="003B51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黑体" w:hAnsi="Arial"/>
                <w:sz w:val="21"/>
              </w:rPr>
              <w:t>公司名称</w:t>
            </w:r>
            <w:proofErr w:type="spellEnd"/>
          </w:p>
        </w:tc>
        <w:tc>
          <w:tcPr>
            <w:tcW w:w="1728" w:type="dxa"/>
          </w:tcPr>
          <w:p w14:paraId="3675D68B" w14:textId="77777777" w:rsidR="00894480" w:rsidRDefault="003B51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黑体" w:hAnsi="Arial"/>
                <w:sz w:val="21"/>
              </w:rPr>
              <w:t>保费收入</w:t>
            </w:r>
            <w:proofErr w:type="spellEnd"/>
            <w:r>
              <w:rPr>
                <w:rFonts w:ascii="Arial" w:eastAsia="黑体" w:hAnsi="Arial"/>
                <w:sz w:val="21"/>
              </w:rPr>
              <w:t>(</w:t>
            </w:r>
            <w:proofErr w:type="spellStart"/>
            <w:r>
              <w:rPr>
                <w:rFonts w:ascii="Arial" w:eastAsia="黑体" w:hAnsi="Arial"/>
                <w:sz w:val="21"/>
              </w:rPr>
              <w:t>亿元</w:t>
            </w:r>
            <w:proofErr w:type="spellEnd"/>
            <w:r>
              <w:rPr>
                <w:rFonts w:ascii="Arial" w:eastAsia="黑体" w:hAnsi="Arial"/>
                <w:sz w:val="21"/>
              </w:rPr>
              <w:t>)</w:t>
            </w:r>
          </w:p>
        </w:tc>
        <w:tc>
          <w:tcPr>
            <w:tcW w:w="1728" w:type="dxa"/>
          </w:tcPr>
          <w:p w14:paraId="61B450D6" w14:textId="77777777" w:rsidR="00894480" w:rsidRDefault="003B51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黑体" w:hAnsi="Arial"/>
                <w:sz w:val="21"/>
              </w:rPr>
              <w:t>同比增长</w:t>
            </w:r>
            <w:proofErr w:type="spellEnd"/>
          </w:p>
        </w:tc>
        <w:tc>
          <w:tcPr>
            <w:tcW w:w="1728" w:type="dxa"/>
          </w:tcPr>
          <w:p w14:paraId="5D8E0060" w14:textId="77777777" w:rsidR="00894480" w:rsidRDefault="003B51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黑体" w:hAnsi="Arial"/>
                <w:sz w:val="21"/>
              </w:rPr>
              <w:t>市场份额</w:t>
            </w:r>
            <w:proofErr w:type="spellEnd"/>
          </w:p>
        </w:tc>
      </w:tr>
      <w:tr w:rsidR="00894480" w14:paraId="42A9C673" w14:textId="77777777" w:rsidTr="0089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D18EDD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w="1728" w:type="dxa"/>
          </w:tcPr>
          <w:p w14:paraId="41629A7D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平安人寿</w:t>
            </w:r>
            <w:proofErr w:type="spellEnd"/>
          </w:p>
        </w:tc>
        <w:tc>
          <w:tcPr>
            <w:tcW w:w="1728" w:type="dxa"/>
          </w:tcPr>
          <w:p w14:paraId="7ECD7DF4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3,420</w:t>
            </w:r>
          </w:p>
        </w:tc>
        <w:tc>
          <w:tcPr>
            <w:tcW w:w="1728" w:type="dxa"/>
          </w:tcPr>
          <w:p w14:paraId="2C6603F6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6.1%</w:t>
            </w:r>
          </w:p>
        </w:tc>
        <w:tc>
          <w:tcPr>
            <w:tcW w:w="1728" w:type="dxa"/>
          </w:tcPr>
          <w:p w14:paraId="60B2B3D4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14.6%</w:t>
            </w:r>
          </w:p>
        </w:tc>
      </w:tr>
      <w:tr w:rsidR="00894480" w14:paraId="582FADD2" w14:textId="77777777" w:rsidTr="008944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2EFBFA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w="1728" w:type="dxa"/>
          </w:tcPr>
          <w:p w14:paraId="53856343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中国人寿</w:t>
            </w:r>
            <w:proofErr w:type="spellEnd"/>
          </w:p>
        </w:tc>
        <w:tc>
          <w:tcPr>
            <w:tcW w:w="1728" w:type="dxa"/>
          </w:tcPr>
          <w:p w14:paraId="3F3DD915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3,120</w:t>
            </w:r>
          </w:p>
        </w:tc>
        <w:tc>
          <w:tcPr>
            <w:tcW w:w="1728" w:type="dxa"/>
          </w:tcPr>
          <w:p w14:paraId="42BDC901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4.8%</w:t>
            </w:r>
          </w:p>
        </w:tc>
        <w:tc>
          <w:tcPr>
            <w:tcW w:w="1728" w:type="dxa"/>
          </w:tcPr>
          <w:p w14:paraId="05D5050E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13.3%</w:t>
            </w:r>
          </w:p>
        </w:tc>
      </w:tr>
      <w:tr w:rsidR="00894480" w14:paraId="68E54CD3" w14:textId="77777777" w:rsidTr="0089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2C32EC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w="1728" w:type="dxa"/>
          </w:tcPr>
          <w:p w14:paraId="12AA5537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太保寿险</w:t>
            </w:r>
            <w:proofErr w:type="spellEnd"/>
          </w:p>
        </w:tc>
        <w:tc>
          <w:tcPr>
            <w:tcW w:w="1728" w:type="dxa"/>
          </w:tcPr>
          <w:p w14:paraId="2B93CB6A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1,790</w:t>
            </w:r>
          </w:p>
        </w:tc>
        <w:tc>
          <w:tcPr>
            <w:tcW w:w="1728" w:type="dxa"/>
          </w:tcPr>
          <w:p w14:paraId="5FEF7055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9.2%</w:t>
            </w:r>
          </w:p>
        </w:tc>
        <w:tc>
          <w:tcPr>
            <w:tcW w:w="1728" w:type="dxa"/>
          </w:tcPr>
          <w:p w14:paraId="7FB54A03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7.6%</w:t>
            </w:r>
          </w:p>
        </w:tc>
      </w:tr>
      <w:tr w:rsidR="00894480" w14:paraId="7E666AD1" w14:textId="77777777" w:rsidTr="008944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C11EAF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w="1728" w:type="dxa"/>
          </w:tcPr>
          <w:p w14:paraId="6EC2E5DB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新华保险</w:t>
            </w:r>
            <w:proofErr w:type="spellEnd"/>
          </w:p>
        </w:tc>
        <w:tc>
          <w:tcPr>
            <w:tcW w:w="1728" w:type="dxa"/>
          </w:tcPr>
          <w:p w14:paraId="45F8EAEF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1,120</w:t>
            </w:r>
          </w:p>
        </w:tc>
        <w:tc>
          <w:tcPr>
            <w:tcW w:w="1728" w:type="dxa"/>
          </w:tcPr>
          <w:p w14:paraId="7959ADB6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6.8%</w:t>
            </w:r>
          </w:p>
        </w:tc>
        <w:tc>
          <w:tcPr>
            <w:tcW w:w="1728" w:type="dxa"/>
          </w:tcPr>
          <w:p w14:paraId="006A05A0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4.8%</w:t>
            </w:r>
          </w:p>
        </w:tc>
      </w:tr>
      <w:tr w:rsidR="00894480" w14:paraId="53EFE381" w14:textId="77777777" w:rsidTr="0089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1CCDC3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w="1728" w:type="dxa"/>
          </w:tcPr>
          <w:p w14:paraId="7E0E8109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泰康人寿</w:t>
            </w:r>
            <w:proofErr w:type="spellEnd"/>
          </w:p>
        </w:tc>
        <w:tc>
          <w:tcPr>
            <w:tcW w:w="1728" w:type="dxa"/>
          </w:tcPr>
          <w:p w14:paraId="0D793640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1,050</w:t>
            </w:r>
          </w:p>
        </w:tc>
        <w:tc>
          <w:tcPr>
            <w:tcW w:w="1728" w:type="dxa"/>
          </w:tcPr>
          <w:p w14:paraId="7E22F203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7.5%</w:t>
            </w:r>
          </w:p>
        </w:tc>
        <w:tc>
          <w:tcPr>
            <w:tcW w:w="1728" w:type="dxa"/>
          </w:tcPr>
          <w:p w14:paraId="1DAB6935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4.5%</w:t>
            </w:r>
          </w:p>
        </w:tc>
      </w:tr>
      <w:tr w:rsidR="00894480" w14:paraId="682EE0A3" w14:textId="77777777" w:rsidTr="008944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F7B01E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w="1728" w:type="dxa"/>
          </w:tcPr>
          <w:p w14:paraId="1D2C4A17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人保财险</w:t>
            </w:r>
            <w:proofErr w:type="spellEnd"/>
          </w:p>
        </w:tc>
        <w:tc>
          <w:tcPr>
            <w:tcW w:w="1728" w:type="dxa"/>
          </w:tcPr>
          <w:p w14:paraId="47230A01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2,580</w:t>
            </w:r>
          </w:p>
        </w:tc>
        <w:tc>
          <w:tcPr>
            <w:tcW w:w="1728" w:type="dxa"/>
          </w:tcPr>
          <w:p w14:paraId="2643A44D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5.2%</w:t>
            </w:r>
          </w:p>
        </w:tc>
        <w:tc>
          <w:tcPr>
            <w:tcW w:w="1728" w:type="dxa"/>
          </w:tcPr>
          <w:p w14:paraId="0C02F2F2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11.0%</w:t>
            </w:r>
          </w:p>
        </w:tc>
      </w:tr>
      <w:tr w:rsidR="00894480" w14:paraId="69ACC977" w14:textId="77777777" w:rsidTr="00894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6CCC4B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w="1728" w:type="dxa"/>
          </w:tcPr>
          <w:p w14:paraId="0DE6357C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平安产险</w:t>
            </w:r>
            <w:proofErr w:type="spellEnd"/>
          </w:p>
        </w:tc>
        <w:tc>
          <w:tcPr>
            <w:tcW w:w="1728" w:type="dxa"/>
          </w:tcPr>
          <w:p w14:paraId="539EA086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1,610</w:t>
            </w:r>
          </w:p>
        </w:tc>
        <w:tc>
          <w:tcPr>
            <w:tcW w:w="1728" w:type="dxa"/>
          </w:tcPr>
          <w:p w14:paraId="078123A7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6.5%</w:t>
            </w:r>
          </w:p>
        </w:tc>
        <w:tc>
          <w:tcPr>
            <w:tcW w:w="1728" w:type="dxa"/>
          </w:tcPr>
          <w:p w14:paraId="00417186" w14:textId="77777777" w:rsidR="00894480" w:rsidRDefault="003B51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6.9%</w:t>
            </w:r>
          </w:p>
        </w:tc>
      </w:tr>
      <w:tr w:rsidR="00894480" w14:paraId="00ABA7C7" w14:textId="77777777" w:rsidTr="008944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B9C562" w14:textId="77777777" w:rsidR="00894480" w:rsidRDefault="003B515F">
            <w:pPr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1728" w:type="dxa"/>
          </w:tcPr>
          <w:p w14:paraId="05D5F8BA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1"/>
              </w:rPr>
              <w:t>太保产险</w:t>
            </w:r>
            <w:proofErr w:type="spellEnd"/>
          </w:p>
        </w:tc>
        <w:tc>
          <w:tcPr>
            <w:tcW w:w="1728" w:type="dxa"/>
          </w:tcPr>
          <w:p w14:paraId="7CB3ACEA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970</w:t>
            </w:r>
          </w:p>
        </w:tc>
        <w:tc>
          <w:tcPr>
            <w:tcW w:w="1728" w:type="dxa"/>
          </w:tcPr>
          <w:p w14:paraId="13FD99CD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5.9%</w:t>
            </w:r>
          </w:p>
        </w:tc>
        <w:tc>
          <w:tcPr>
            <w:tcW w:w="1728" w:type="dxa"/>
          </w:tcPr>
          <w:p w14:paraId="03020CA4" w14:textId="77777777" w:rsidR="00894480" w:rsidRDefault="003B51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4.1%</w:t>
            </w:r>
          </w:p>
        </w:tc>
      </w:tr>
    </w:tbl>
    <w:p w14:paraId="5450399D" w14:textId="77777777" w:rsidR="00894480" w:rsidRDefault="00894480">
      <w:pPr>
        <w:spacing w:after="80"/>
      </w:pPr>
    </w:p>
    <w:p w14:paraId="24BF0EFA" w14:textId="77777777" w:rsidR="00894480" w:rsidRDefault="003B515F">
      <w:pPr>
        <w:spacing w:before="120" w:after="40"/>
      </w:pPr>
      <w:proofErr w:type="spellStart"/>
      <w:r>
        <w:rPr>
          <w:b/>
        </w:rPr>
        <w:t>竞争格局演变</w:t>
      </w:r>
      <w:proofErr w:type="spellEnd"/>
    </w:p>
    <w:p w14:paraId="50AE5679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头部险企依托品牌与渠道护城河维持领先</w:t>
      </w:r>
    </w:p>
    <w:p w14:paraId="4B384F00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lastRenderedPageBreak/>
        <w:t>腰部险企借差异化经营实现突围，特色化成为破局关键</w:t>
      </w:r>
    </w:p>
    <w:p w14:paraId="4A3B942F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部分小型险企经营承压，行业整合预期升温</w:t>
      </w:r>
    </w:p>
    <w:p w14:paraId="6AB0991A" w14:textId="77777777" w:rsidR="00894480" w:rsidRDefault="003B515F">
      <w:pPr>
        <w:spacing w:before="120" w:after="40"/>
      </w:pPr>
      <w:proofErr w:type="spellStart"/>
      <w:r>
        <w:rPr>
          <w:b/>
        </w:rPr>
        <w:t>并购活动</w:t>
      </w:r>
      <w:proofErr w:type="spellEnd"/>
    </w:p>
    <w:p w14:paraId="13EE65F8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三季度发生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起重大并购事件，涉及金额超</w:t>
      </w:r>
      <w:r>
        <w:rPr>
          <w:sz w:val="21"/>
          <w:lang w:eastAsia="zh-CN"/>
        </w:rPr>
        <w:t>65</w:t>
      </w:r>
      <w:r>
        <w:rPr>
          <w:sz w:val="21"/>
          <w:lang w:eastAsia="zh-CN"/>
        </w:rPr>
        <w:t>亿元</w:t>
      </w:r>
    </w:p>
    <w:p w14:paraId="3BCAA7AC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跨界合作日益活跃，保险与医疗、养老、科技企业加速协同</w:t>
      </w:r>
    </w:p>
    <w:p w14:paraId="688F3D62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外资险企加大中国市场布局，新增</w:t>
      </w:r>
      <w:r>
        <w:rPr>
          <w:sz w:val="21"/>
          <w:lang w:eastAsia="zh-CN"/>
        </w:rPr>
        <w:t>4</w:t>
      </w:r>
      <w:r>
        <w:rPr>
          <w:sz w:val="21"/>
          <w:lang w:eastAsia="zh-CN"/>
        </w:rPr>
        <w:t>家外资独资机构</w:t>
      </w:r>
    </w:p>
    <w:p w14:paraId="5A32D8E1" w14:textId="77777777" w:rsidR="00894480" w:rsidRDefault="003B515F">
      <w:pPr>
        <w:spacing w:before="200"/>
        <w:jc w:val="center"/>
        <w:rPr>
          <w:lang w:eastAsia="zh-CN"/>
        </w:rPr>
      </w:pPr>
      <w:r>
        <w:rPr>
          <w:color w:val="AAAAAA"/>
          <w:sz w:val="18"/>
          <w:lang w:eastAsia="zh-CN"/>
        </w:rPr>
        <w:t xml:space="preserve">———  </w:t>
      </w:r>
      <w:r>
        <w:rPr>
          <w:color w:val="AAAAAA"/>
          <w:sz w:val="18"/>
          <w:lang w:eastAsia="zh-CN"/>
        </w:rPr>
        <w:t>内容分隔</w:t>
      </w:r>
      <w:r>
        <w:rPr>
          <w:color w:val="AAAAAA"/>
          <w:sz w:val="18"/>
          <w:lang w:eastAsia="zh-CN"/>
        </w:rPr>
        <w:t xml:space="preserve">  ———</w:t>
      </w:r>
    </w:p>
    <w:p w14:paraId="6BB70860" w14:textId="77777777" w:rsidR="00894480" w:rsidRDefault="003B515F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6.3  </w:t>
      </w:r>
      <w:r>
        <w:rPr>
          <w:rFonts w:ascii="Arial" w:eastAsia="黑体" w:hAnsi="Arial"/>
          <w:b/>
          <w:color w:val="2E5C8A"/>
          <w:sz w:val="28"/>
          <w:lang w:eastAsia="zh-CN"/>
        </w:rPr>
        <w:t>反欺诈技术应用</w:t>
      </w:r>
    </w:p>
    <w:p w14:paraId="67C94681" w14:textId="77777777" w:rsidR="00894480" w:rsidRDefault="003B515F">
      <w:pPr>
        <w:spacing w:after="80"/>
        <w:ind w:firstLine="480"/>
        <w:rPr>
          <w:lang w:eastAsia="zh-CN"/>
        </w:rPr>
      </w:pPr>
      <w:r>
        <w:rPr>
          <w:lang w:eastAsia="zh-CN"/>
        </w:rPr>
        <w:t>反欺诈技术能力在本季度持续突破，</w:t>
      </w:r>
      <w:r>
        <w:rPr>
          <w:lang w:eastAsia="zh-CN"/>
        </w:rPr>
        <w:t>AI</w:t>
      </w:r>
      <w:r>
        <w:rPr>
          <w:lang w:eastAsia="zh-CN"/>
        </w:rPr>
        <w:t>与大数据驱动的智能反欺诈体系不断完善。</w:t>
      </w:r>
    </w:p>
    <w:p w14:paraId="2FA2B7FA" w14:textId="77777777" w:rsidR="00894480" w:rsidRDefault="003B515F">
      <w:pPr>
        <w:spacing w:before="120" w:after="40"/>
      </w:pPr>
      <w:proofErr w:type="spellStart"/>
      <w:r>
        <w:rPr>
          <w:b/>
        </w:rPr>
        <w:t>技术落地</w:t>
      </w:r>
      <w:proofErr w:type="spellEnd"/>
    </w:p>
    <w:p w14:paraId="1078C7FE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AI</w:t>
      </w:r>
      <w:r>
        <w:rPr>
          <w:sz w:val="21"/>
          <w:lang w:eastAsia="zh-CN"/>
        </w:rPr>
        <w:t>反欺诈模型识别准确率升至</w:t>
      </w:r>
      <w:r>
        <w:rPr>
          <w:sz w:val="21"/>
          <w:lang w:eastAsia="zh-CN"/>
        </w:rPr>
        <w:t>91%</w:t>
      </w:r>
      <w:r>
        <w:rPr>
          <w:sz w:val="21"/>
          <w:lang w:eastAsia="zh-CN"/>
        </w:rPr>
        <w:t>，误报率控制在</w:t>
      </w:r>
      <w:r>
        <w:rPr>
          <w:sz w:val="21"/>
          <w:lang w:eastAsia="zh-CN"/>
        </w:rPr>
        <w:t>4%</w:t>
      </w:r>
      <w:r>
        <w:rPr>
          <w:sz w:val="21"/>
          <w:lang w:eastAsia="zh-CN"/>
        </w:rPr>
        <w:t>以内</w:t>
      </w:r>
    </w:p>
    <w:p w14:paraId="049D0A68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图数据库技术应用于团伙欺诈识别，挽回损失约</w:t>
      </w:r>
      <w:r>
        <w:rPr>
          <w:sz w:val="21"/>
          <w:lang w:eastAsia="zh-CN"/>
        </w:rPr>
        <w:t>15</w:t>
      </w:r>
      <w:r>
        <w:rPr>
          <w:sz w:val="21"/>
          <w:lang w:eastAsia="zh-CN"/>
        </w:rPr>
        <w:t>亿元</w:t>
      </w:r>
    </w:p>
    <w:p w14:paraId="17A4F4ED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区块链技术用于理赔数据防篡改，覆盖</w:t>
      </w:r>
      <w:r>
        <w:rPr>
          <w:sz w:val="21"/>
          <w:lang w:eastAsia="zh-CN"/>
        </w:rPr>
        <w:t>35%</w:t>
      </w:r>
      <w:r>
        <w:rPr>
          <w:sz w:val="21"/>
          <w:lang w:eastAsia="zh-CN"/>
        </w:rPr>
        <w:t>以上的理赔案件</w:t>
      </w:r>
    </w:p>
    <w:p w14:paraId="2E54E3F7" w14:textId="77777777" w:rsidR="00894480" w:rsidRDefault="003B515F">
      <w:pPr>
        <w:spacing w:before="120" w:after="40"/>
      </w:pPr>
      <w:proofErr w:type="spellStart"/>
      <w:r>
        <w:rPr>
          <w:b/>
        </w:rPr>
        <w:t>减损成效</w:t>
      </w:r>
      <w:proofErr w:type="spellEnd"/>
    </w:p>
    <w:p w14:paraId="09BA5998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疑似欺诈案件识别量同比增长</w:t>
      </w:r>
      <w:r>
        <w:rPr>
          <w:sz w:val="21"/>
          <w:lang w:eastAsia="zh-CN"/>
        </w:rPr>
        <w:t>28%</w:t>
      </w:r>
    </w:p>
    <w:p w14:paraId="4D0BCE0C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实际欺诈减损金额约</w:t>
      </w:r>
      <w:r>
        <w:rPr>
          <w:sz w:val="21"/>
          <w:lang w:eastAsia="zh-CN"/>
        </w:rPr>
        <w:t>10.2</w:t>
      </w:r>
      <w:r>
        <w:rPr>
          <w:sz w:val="21"/>
          <w:lang w:eastAsia="zh-CN"/>
        </w:rPr>
        <w:t>亿元</w:t>
      </w:r>
    </w:p>
    <w:p w14:paraId="58EC742E" w14:textId="77777777" w:rsidR="00894480" w:rsidRDefault="003B515F">
      <w:pPr>
        <w:pStyle w:val="ListBullet"/>
        <w:spacing w:after="20"/>
        <w:rPr>
          <w:lang w:eastAsia="zh-CN"/>
        </w:rPr>
      </w:pPr>
      <w:r>
        <w:rPr>
          <w:sz w:val="21"/>
          <w:lang w:eastAsia="zh-CN"/>
        </w:rPr>
        <w:t>行业反欺诈信息共享平台覆盖机构增至</w:t>
      </w:r>
      <w:r>
        <w:rPr>
          <w:sz w:val="21"/>
          <w:lang w:eastAsia="zh-CN"/>
        </w:rPr>
        <w:t>135</w:t>
      </w:r>
      <w:r>
        <w:rPr>
          <w:sz w:val="21"/>
          <w:lang w:eastAsia="zh-CN"/>
        </w:rPr>
        <w:t>家</w:t>
      </w:r>
    </w:p>
    <w:sectPr w:rsidR="008944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9D2C" w14:textId="77777777" w:rsidR="003B515F" w:rsidRDefault="003B515F" w:rsidP="003C141F">
      <w:pPr>
        <w:spacing w:after="0" w:line="240" w:lineRule="auto"/>
      </w:pPr>
      <w:r>
        <w:separator/>
      </w:r>
    </w:p>
  </w:endnote>
  <w:endnote w:type="continuationSeparator" w:id="0">
    <w:p w14:paraId="13BEFE64" w14:textId="77777777" w:rsidR="003B515F" w:rsidRDefault="003B515F" w:rsidP="003C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1915" w14:textId="77777777" w:rsidR="003B515F" w:rsidRDefault="003B515F" w:rsidP="003C141F">
      <w:pPr>
        <w:spacing w:after="0" w:line="240" w:lineRule="auto"/>
      </w:pPr>
      <w:r>
        <w:separator/>
      </w:r>
    </w:p>
  </w:footnote>
  <w:footnote w:type="continuationSeparator" w:id="0">
    <w:p w14:paraId="59BD8149" w14:textId="77777777" w:rsidR="003B515F" w:rsidRDefault="003B515F" w:rsidP="003C1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765189">
    <w:abstractNumId w:val="8"/>
  </w:num>
  <w:num w:numId="2" w16cid:durableId="439689698">
    <w:abstractNumId w:val="6"/>
  </w:num>
  <w:num w:numId="3" w16cid:durableId="1426460928">
    <w:abstractNumId w:val="5"/>
  </w:num>
  <w:num w:numId="4" w16cid:durableId="832262132">
    <w:abstractNumId w:val="4"/>
  </w:num>
  <w:num w:numId="5" w16cid:durableId="636301558">
    <w:abstractNumId w:val="7"/>
  </w:num>
  <w:num w:numId="6" w16cid:durableId="1617133530">
    <w:abstractNumId w:val="3"/>
  </w:num>
  <w:num w:numId="7" w16cid:durableId="99373959">
    <w:abstractNumId w:val="2"/>
  </w:num>
  <w:num w:numId="8" w16cid:durableId="1569460974">
    <w:abstractNumId w:val="1"/>
  </w:num>
  <w:num w:numId="9" w16cid:durableId="150708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35"/>
    <w:rsid w:val="00034616"/>
    <w:rsid w:val="0006063C"/>
    <w:rsid w:val="0015074B"/>
    <w:rsid w:val="00175961"/>
    <w:rsid w:val="0029639D"/>
    <w:rsid w:val="00326F90"/>
    <w:rsid w:val="003B515F"/>
    <w:rsid w:val="003C141F"/>
    <w:rsid w:val="00894480"/>
    <w:rsid w:val="008B62BA"/>
    <w:rsid w:val="00A251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291D5C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宋体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991</Characters>
  <Application>Microsoft Office Word</Application>
  <DocSecurity>0</DocSecurity>
  <Lines>70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Liping - Beijing-MR</cp:lastModifiedBy>
  <cp:revision>3</cp:revision>
  <dcterms:created xsi:type="dcterms:W3CDTF">2013-12-23T23:15:00Z</dcterms:created>
  <dcterms:modified xsi:type="dcterms:W3CDTF">2026-07-25T03:21:00Z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2026-07-20T07:09:27Z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552402c1-b7f9-4ee5-8bf9-fc9bbcc5e27e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  <property fmtid="{D5CDD505-2E9C-101B-9397-08002B2CF9AE}" pid="10" name="MSIP_Label_f45d0447-72b7-4595-8ee5-b32b4892557e_Enabled">
    <vt:lpwstr>true</vt:lpwstr>
  </property>
  <property fmtid="{D5CDD505-2E9C-101B-9397-08002B2CF9AE}" pid="11" name="MSIP_Label_f45d0447-72b7-4595-8ee5-b32b4892557e_SetDate">
    <vt:lpwstr>2026-07-25T03:17:00Z</vt:lpwstr>
  </property>
  <property fmtid="{D5CDD505-2E9C-101B-9397-08002B2CF9AE}" pid="12" name="MSIP_Label_f45d0447-72b7-4595-8ee5-b32b4892557e_Method">
    <vt:lpwstr>Privileged</vt:lpwstr>
  </property>
  <property fmtid="{D5CDD505-2E9C-101B-9397-08002B2CF9AE}" pid="13" name="MSIP_Label_f45d0447-72b7-4595-8ee5-b32b4892557e_Name">
    <vt:lpwstr>f45d0447-72b7-4595-8ee5-b32b4892557e</vt:lpwstr>
  </property>
  <property fmtid="{D5CDD505-2E9C-101B-9397-08002B2CF9AE}" pid="14" name="MSIP_Label_f45d0447-72b7-4595-8ee5-b32b4892557e_SiteId">
    <vt:lpwstr>582259a1-dcaa-4cca-b1cf-e60d3f045ecd</vt:lpwstr>
  </property>
  <property fmtid="{D5CDD505-2E9C-101B-9397-08002B2CF9AE}" pid="15" name="MSIP_Label_f45d0447-72b7-4595-8ee5-b32b4892557e_ActionId">
    <vt:lpwstr>0d576ee1-dcf9-4440-9bf2-203c58db5ec5</vt:lpwstr>
  </property>
  <property fmtid="{D5CDD505-2E9C-101B-9397-08002B2CF9AE}" pid="16" name="MSIP_Label_f45d0447-72b7-4595-8ee5-b32b4892557e_ContentBits">
    <vt:lpwstr>0</vt:lpwstr>
  </property>
  <property fmtid="{D5CDD505-2E9C-101B-9397-08002B2CF9AE}" pid="17" name="MSIP_Label_f45d0447-72b7-4595-8ee5-b32b4892557e_Tag">
    <vt:lpwstr>10, 0, 1, 1</vt:lpwstr>
  </property>
</Properties>
</file>