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5887B" w14:textId="77777777" w:rsidR="008E52E5" w:rsidRDefault="008E52E5" w:rsidP="00607ABF">
      <w:pPr>
        <w:pStyle w:val="Titel"/>
        <w:jc w:val="center"/>
        <w:rPr>
          <w:rFonts w:ascii="IBM Plex Sans" w:hAnsi="IBM Plex Sans"/>
          <w:b/>
          <w:bCs/>
          <w:sz w:val="36"/>
          <w:szCs w:val="36"/>
        </w:rPr>
      </w:pPr>
    </w:p>
    <w:p w14:paraId="414BF0B2" w14:textId="685DA310" w:rsidR="00752515" w:rsidRPr="00607ABF" w:rsidRDefault="00752515" w:rsidP="00607ABF">
      <w:pPr>
        <w:pStyle w:val="Titel"/>
        <w:jc w:val="center"/>
        <w:rPr>
          <w:rFonts w:ascii="IBM Plex Sans" w:hAnsi="IBM Plex Sans"/>
          <w:sz w:val="20"/>
          <w:szCs w:val="20"/>
        </w:rPr>
      </w:pPr>
      <w:r w:rsidRPr="00607ABF">
        <w:rPr>
          <w:rFonts w:ascii="IBM Plex Sans" w:hAnsi="IBM Plex Sans"/>
          <w:b/>
          <w:bCs/>
          <w:sz w:val="36"/>
          <w:szCs w:val="36"/>
        </w:rPr>
        <w:t>Tandembogen</w:t>
      </w:r>
      <w:r w:rsidR="00607ABF" w:rsidRPr="00607ABF">
        <w:rPr>
          <w:rFonts w:ascii="IBM Plex Sans" w:hAnsi="IBM Plex Sans"/>
          <w:sz w:val="36"/>
          <w:szCs w:val="36"/>
        </w:rPr>
        <w:t xml:space="preserve">: </w:t>
      </w:r>
      <w:r w:rsidR="00564633" w:rsidRPr="00607ABF">
        <w:rPr>
          <w:rFonts w:ascii="IBM Plex Sans" w:hAnsi="IBM Plex Sans"/>
          <w:sz w:val="36"/>
          <w:szCs w:val="36"/>
        </w:rPr>
        <w:t>Bezugsnormen &amp; Leseprozess</w:t>
      </w:r>
      <w:r w:rsidR="0051648E" w:rsidRPr="00607ABF">
        <w:rPr>
          <w:rFonts w:ascii="IBM Plex Sans" w:hAnsi="IBM Plex Sans"/>
          <w:sz w:val="30"/>
          <w:szCs w:val="30"/>
        </w:rPr>
        <w:br/>
      </w:r>
    </w:p>
    <w:tbl>
      <w:tblPr>
        <w:tblStyle w:val="Tabellenraster"/>
        <w:tblW w:w="1020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961"/>
      </w:tblGrid>
      <w:tr w:rsidR="00607ABF" w:rsidRPr="008E52E5" w14:paraId="2CAED3C4" w14:textId="77777777" w:rsidTr="00CA0379">
        <w:tc>
          <w:tcPr>
            <w:tcW w:w="5245" w:type="dxa"/>
            <w:shd w:val="clear" w:color="auto" w:fill="D9D9D9" w:themeFill="background1" w:themeFillShade="D9"/>
            <w:vAlign w:val="center"/>
          </w:tcPr>
          <w:p w14:paraId="33C5CBD2" w14:textId="07406A1F" w:rsidR="00752515" w:rsidRPr="008E52E5" w:rsidRDefault="00564633" w:rsidP="0051648E">
            <w:pPr>
              <w:spacing w:before="60" w:afterLines="60" w:after="144"/>
              <w:ind w:right="227"/>
              <w:rPr>
                <w:rFonts w:ascii="IBM Plex Sans" w:hAnsi="IBM Plex Sans"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Die soziale Bezugsnorm ist definiert als …</w:t>
            </w:r>
            <w:r w:rsidR="0051648E"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4628F794" w14:textId="60EB3EC3" w:rsidR="00752515" w:rsidRPr="008E52E5" w:rsidRDefault="00564633" w:rsidP="00607ABF">
            <w:pPr>
              <w:spacing w:before="60" w:afterLines="60" w:after="144"/>
              <w:ind w:left="37" w:hanging="37"/>
              <w:rPr>
                <w:rFonts w:ascii="IBM Plex Sans" w:hAnsi="IBM Plex Sans"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>… die Relativierung einer Leistung eines Individuums an den Leistungen einer Vergleichsgruppe.</w:t>
            </w:r>
            <w:r w:rsidR="0051648E"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 </w:t>
            </w:r>
          </w:p>
        </w:tc>
      </w:tr>
      <w:tr w:rsidR="00607ABF" w:rsidRPr="008E52E5" w14:paraId="5AA4DF0F" w14:textId="77777777" w:rsidTr="00CA0379">
        <w:tc>
          <w:tcPr>
            <w:tcW w:w="5245" w:type="dxa"/>
            <w:vAlign w:val="center"/>
          </w:tcPr>
          <w:p w14:paraId="49FEC85D" w14:textId="5BBE007B" w:rsidR="00752515" w:rsidRPr="008E52E5" w:rsidRDefault="00564633" w:rsidP="0051648E">
            <w:pPr>
              <w:spacing w:before="60" w:afterLines="60" w:after="144"/>
              <w:ind w:right="227"/>
              <w:rPr>
                <w:rFonts w:ascii="IBM Plex Sans" w:hAnsi="IBM Plex Sans"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… die Relativierung einer Leistung eines Individuums an 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einer oder mehrerer 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Leistungen 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>desselben Individuum</w:t>
            </w:r>
            <w:r w:rsidR="0029035B" w:rsidRPr="008E52E5">
              <w:rPr>
                <w:rFonts w:ascii="IBM Plex Sans" w:hAnsi="IBM Plex Sans"/>
                <w:color w:val="000000"/>
                <w:sz w:val="19"/>
                <w:szCs w:val="19"/>
              </w:rPr>
              <w:t>s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 zu einer anderen Zeit oder bzgl. einer anderen Größe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>.</w:t>
            </w:r>
          </w:p>
        </w:tc>
        <w:tc>
          <w:tcPr>
            <w:tcW w:w="4961" w:type="dxa"/>
            <w:vAlign w:val="center"/>
          </w:tcPr>
          <w:p w14:paraId="4E598089" w14:textId="4DCA52CF" w:rsidR="00752515" w:rsidRPr="008E52E5" w:rsidRDefault="00564633" w:rsidP="00607ABF">
            <w:pPr>
              <w:spacing w:before="60" w:afterLines="60" w:after="144"/>
              <w:ind w:left="37" w:hanging="37"/>
              <w:rPr>
                <w:rFonts w:ascii="IBM Plex Sans" w:hAnsi="IBM Plex Sans"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 xml:space="preserve">Die 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individuelle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 xml:space="preserve"> Bezugsnorm ist definiert als …</w:t>
            </w:r>
          </w:p>
        </w:tc>
      </w:tr>
      <w:tr w:rsidR="00607ABF" w:rsidRPr="008E52E5" w14:paraId="3F18DCC1" w14:textId="77777777" w:rsidTr="00CA0379">
        <w:tc>
          <w:tcPr>
            <w:tcW w:w="5245" w:type="dxa"/>
            <w:shd w:val="clear" w:color="auto" w:fill="D9D9D9" w:themeFill="background1" w:themeFillShade="D9"/>
            <w:vAlign w:val="center"/>
          </w:tcPr>
          <w:p w14:paraId="020E33BF" w14:textId="4D3B3177" w:rsidR="00752515" w:rsidRPr="008E52E5" w:rsidRDefault="00564633" w:rsidP="0051648E">
            <w:pPr>
              <w:spacing w:before="60" w:afterLines="60" w:after="144"/>
              <w:ind w:right="227"/>
              <w:rPr>
                <w:rFonts w:ascii="IBM Plex Sans" w:hAnsi="IBM Plex Sans"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 xml:space="preserve">Die 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kriteriale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 xml:space="preserve"> Bezugsnorm ist definiert als …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75E3CC13" w14:textId="37B94144" w:rsidR="00752515" w:rsidRPr="008E52E5" w:rsidRDefault="00564633" w:rsidP="00607ABF">
            <w:pPr>
              <w:spacing w:before="60" w:afterLines="60" w:after="144"/>
              <w:ind w:left="37" w:hanging="37"/>
              <w:rPr>
                <w:rFonts w:ascii="IBM Plex Sans" w:hAnsi="IBM Plex Sans"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… die Relativierung einer Leistung eines Individuums an 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>einem a priori (unabhängig von gemachten Beobachtungen) festgelegten Kriterium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>.</w:t>
            </w:r>
          </w:p>
        </w:tc>
      </w:tr>
      <w:tr w:rsidR="00607ABF" w:rsidRPr="008E52E5" w14:paraId="7AB0DDC5" w14:textId="77777777" w:rsidTr="00CA0379">
        <w:tc>
          <w:tcPr>
            <w:tcW w:w="5245" w:type="dxa"/>
            <w:vAlign w:val="center"/>
          </w:tcPr>
          <w:p w14:paraId="37D9BF71" w14:textId="3F7FE7F1" w:rsidR="00752515" w:rsidRPr="008E52E5" w:rsidRDefault="00564633" w:rsidP="0051648E">
            <w:pPr>
              <w:spacing w:before="60" w:afterLines="60" w:after="144"/>
              <w:ind w:right="227"/>
              <w:rPr>
                <w:rFonts w:ascii="IBM Plex Sans" w:hAnsi="IBM Plex Sans"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… sozialen </w:t>
            </w:r>
            <w:r w:rsidR="00CA0379">
              <w:rPr>
                <w:rFonts w:ascii="IBM Plex Sans" w:hAnsi="IBM Plex Sans"/>
                <w:color w:val="000000"/>
                <w:sz w:val="19"/>
                <w:szCs w:val="19"/>
              </w:rPr>
              <w:t>...</w:t>
            </w:r>
          </w:p>
        </w:tc>
        <w:tc>
          <w:tcPr>
            <w:tcW w:w="4961" w:type="dxa"/>
            <w:vAlign w:val="center"/>
          </w:tcPr>
          <w:p w14:paraId="37921809" w14:textId="5FF9BB4B" w:rsidR="00752515" w:rsidRPr="008E52E5" w:rsidRDefault="00564633" w:rsidP="00607ABF">
            <w:pPr>
              <w:spacing w:before="60" w:afterLines="60" w:after="144"/>
              <w:ind w:left="37" w:hanging="37"/>
              <w:rPr>
                <w:rFonts w:ascii="IBM Plex Sans" w:hAnsi="IBM Plex Sans"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Zu sagen »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  <w:u w:val="single"/>
              </w:rPr>
              <w:t>Fatima liest für eine Zweitklässlerin schon sehr flüssig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 xml:space="preserve">« entspricht der </w:t>
            </w:r>
            <w:r w:rsidR="008E52E5"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… Bezugsnorm.</w:t>
            </w:r>
          </w:p>
        </w:tc>
      </w:tr>
      <w:tr w:rsidR="00607ABF" w:rsidRPr="008E52E5" w14:paraId="4053EF21" w14:textId="77777777" w:rsidTr="00CA0379">
        <w:tc>
          <w:tcPr>
            <w:tcW w:w="5245" w:type="dxa"/>
            <w:shd w:val="clear" w:color="auto" w:fill="D9D9D9" w:themeFill="background1" w:themeFillShade="D9"/>
            <w:vAlign w:val="center"/>
          </w:tcPr>
          <w:p w14:paraId="6E38B9DC" w14:textId="63D2951E" w:rsidR="00752515" w:rsidRPr="008E52E5" w:rsidRDefault="00564633" w:rsidP="00607ABF">
            <w:pPr>
              <w:spacing w:before="60" w:afterLines="60" w:after="144"/>
              <w:ind w:right="227"/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 xml:space="preserve">Zu sagen »Fatima 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ist eine flüssige Leserin: Sie schafft 72 fehlerfreie Fibel-Wörter in einer Minute</w:t>
            </w:r>
            <w:r w:rsid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«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r w:rsidR="008E52E5"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entspricht der … Bezugsnorm</w:t>
            </w:r>
            <w:r w:rsidR="008E52E5"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.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113F3153" w14:textId="3044DD18" w:rsidR="00752515" w:rsidRPr="008E52E5" w:rsidRDefault="00564633" w:rsidP="00607ABF">
            <w:pPr>
              <w:spacing w:before="60" w:afterLines="60" w:after="144"/>
              <w:ind w:right="227"/>
              <w:rPr>
                <w:rFonts w:ascii="IBM Plex Sans" w:hAnsi="IBM Plex Sans"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… 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>kriterialen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 </w:t>
            </w:r>
            <w:r w:rsidR="00CA0379">
              <w:rPr>
                <w:rFonts w:ascii="IBM Plex Sans" w:hAnsi="IBM Plex Sans"/>
                <w:color w:val="000000"/>
                <w:sz w:val="19"/>
                <w:szCs w:val="19"/>
              </w:rPr>
              <w:t>..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>.</w:t>
            </w:r>
          </w:p>
        </w:tc>
      </w:tr>
      <w:tr w:rsidR="00607ABF" w:rsidRPr="008E52E5" w14:paraId="7F866166" w14:textId="77777777" w:rsidTr="00CA0379">
        <w:tc>
          <w:tcPr>
            <w:tcW w:w="5245" w:type="dxa"/>
            <w:vAlign w:val="center"/>
          </w:tcPr>
          <w:p w14:paraId="21BD4984" w14:textId="4950E577" w:rsidR="00752515" w:rsidRPr="008E52E5" w:rsidRDefault="00564633" w:rsidP="0051648E">
            <w:pPr>
              <w:pStyle w:val="StandardWeb"/>
              <w:shd w:val="clear" w:color="auto" w:fill="FFFFFF"/>
              <w:spacing w:before="60" w:beforeAutospacing="0" w:afterLines="60" w:after="144" w:afterAutospacing="0"/>
              <w:ind w:right="227"/>
              <w:rPr>
                <w:rFonts w:ascii="IBM Plex Sans" w:hAnsi="IBM Plex Sans"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… individuellen </w:t>
            </w:r>
            <w:r w:rsidR="00CA0379">
              <w:rPr>
                <w:rFonts w:ascii="IBM Plex Sans" w:hAnsi="IBM Plex Sans"/>
                <w:color w:val="000000"/>
                <w:sz w:val="19"/>
                <w:szCs w:val="19"/>
              </w:rPr>
              <w:t>..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>.</w:t>
            </w:r>
            <w:r w:rsidR="0051648E"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4961" w:type="dxa"/>
            <w:vAlign w:val="center"/>
          </w:tcPr>
          <w:p w14:paraId="75BA1A0D" w14:textId="5FE7D060" w:rsidR="00752515" w:rsidRPr="008E52E5" w:rsidRDefault="00564633" w:rsidP="00607ABF">
            <w:pPr>
              <w:pStyle w:val="StandardWeb"/>
              <w:shd w:val="clear" w:color="auto" w:fill="FFFFFF"/>
              <w:spacing w:before="60" w:beforeAutospacing="0" w:afterLines="60" w:after="144" w:afterAutospacing="0"/>
              <w:ind w:left="37" w:hanging="37"/>
              <w:rPr>
                <w:rFonts w:ascii="IBM Plex Sans" w:hAnsi="IBM Plex Sans"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Zu sagen »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  <w:u w:val="single"/>
              </w:rPr>
              <w:t xml:space="preserve">Fatima 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  <w:u w:val="single"/>
              </w:rPr>
              <w:t>hat ihre Leseflüssigkeit im zweiten Schuljahr merklich gesteigert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 xml:space="preserve">« </w:t>
            </w:r>
            <w:r w:rsidR="008E52E5"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entspricht der … Bezugsnorm</w:t>
            </w:r>
            <w:r w:rsidR="008E52E5"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.</w:t>
            </w:r>
          </w:p>
        </w:tc>
      </w:tr>
      <w:tr w:rsidR="00607ABF" w:rsidRPr="008E52E5" w14:paraId="33B6FF50" w14:textId="77777777" w:rsidTr="00CA0379">
        <w:tc>
          <w:tcPr>
            <w:tcW w:w="5245" w:type="dxa"/>
            <w:shd w:val="clear" w:color="auto" w:fill="D9D9D9" w:themeFill="background1" w:themeFillShade="D9"/>
            <w:vAlign w:val="center"/>
          </w:tcPr>
          <w:p w14:paraId="4F12B13F" w14:textId="43ACC34F" w:rsidR="0051648E" w:rsidRPr="008E52E5" w:rsidRDefault="00C200A9" w:rsidP="00607ABF">
            <w:pPr>
              <w:spacing w:before="60" w:afterLines="60" w:after="144"/>
              <w:ind w:right="227"/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 xml:space="preserve">Die 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  <w:u w:val="single"/>
              </w:rPr>
              <w:t>indirekte Route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 xml:space="preserve"> des 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Dual-Route Cascaded Model nach Coltheart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 xml:space="preserve"> et al. 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(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2001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) beschreibt …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1B269F39" w14:textId="3E3482F5" w:rsidR="0051648E" w:rsidRPr="008E52E5" w:rsidRDefault="00C200A9" w:rsidP="00607ABF">
            <w:pPr>
              <w:spacing w:before="60" w:afterLines="60" w:after="144"/>
              <w:ind w:right="227"/>
              <w:rPr>
                <w:rFonts w:ascii="IBM Plex Sans" w:hAnsi="IBM Plex Sans"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>… die Graphem-Phonem-Zuordnung</w:t>
            </w:r>
            <w:r w:rsidR="0051648E"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 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>als Lesestrategie (Rekodieren)</w:t>
            </w:r>
          </w:p>
        </w:tc>
      </w:tr>
      <w:tr w:rsidR="00607ABF" w:rsidRPr="008E52E5" w14:paraId="3C258C1B" w14:textId="77777777" w:rsidTr="00CA0379">
        <w:tc>
          <w:tcPr>
            <w:tcW w:w="5245" w:type="dxa"/>
            <w:vAlign w:val="center"/>
          </w:tcPr>
          <w:p w14:paraId="21495C42" w14:textId="5EE8B8BF" w:rsidR="0051648E" w:rsidRPr="008E52E5" w:rsidRDefault="00C200A9" w:rsidP="0051648E">
            <w:pPr>
              <w:pStyle w:val="StandardWeb"/>
              <w:shd w:val="clear" w:color="auto" w:fill="FFFFFF"/>
              <w:spacing w:before="60" w:beforeAutospacing="0" w:afterLines="60" w:after="144" w:afterAutospacing="0"/>
              <w:ind w:right="227"/>
              <w:rPr>
                <w:rFonts w:ascii="IBM Plex Sans" w:hAnsi="IBM Plex Sans"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>… das direkte Erkennen ganzer Wörter und Satzteile im orthografischen und phonologischen Lexikon (Dekodieren)</w:t>
            </w:r>
          </w:p>
        </w:tc>
        <w:tc>
          <w:tcPr>
            <w:tcW w:w="4961" w:type="dxa"/>
            <w:vAlign w:val="center"/>
          </w:tcPr>
          <w:p w14:paraId="166502B5" w14:textId="43482730" w:rsidR="0051648E" w:rsidRPr="008E52E5" w:rsidRDefault="00C200A9" w:rsidP="00607ABF">
            <w:pPr>
              <w:pStyle w:val="StandardWeb"/>
              <w:shd w:val="clear" w:color="auto" w:fill="FFFFFF"/>
              <w:spacing w:before="60" w:beforeAutospacing="0" w:afterLines="60" w:after="144" w:afterAutospacing="0"/>
              <w:ind w:left="37" w:hanging="37"/>
              <w:rPr>
                <w:rFonts w:ascii="IBM Plex Sans" w:hAnsi="IBM Plex Sans"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 w:cs="Arial"/>
                <w:b/>
                <w:bCs/>
                <w:i/>
                <w:iCs/>
                <w:color w:val="000000"/>
                <w:sz w:val="19"/>
                <w:szCs w:val="19"/>
                <w:lang w:val="en-US"/>
              </w:rPr>
              <w:t xml:space="preserve">Die </w:t>
            </w:r>
            <w:proofErr w:type="spellStart"/>
            <w:r w:rsidRPr="008E52E5">
              <w:rPr>
                <w:rFonts w:ascii="IBM Plex Sans" w:hAnsi="IBM Plex Sans" w:cs="Arial"/>
                <w:b/>
                <w:bCs/>
                <w:i/>
                <w:iCs/>
                <w:color w:val="000000"/>
                <w:sz w:val="19"/>
                <w:szCs w:val="19"/>
                <w:u w:val="single"/>
                <w:lang w:val="en-US"/>
              </w:rPr>
              <w:t>direkte</w:t>
            </w:r>
            <w:proofErr w:type="spellEnd"/>
            <w:r w:rsidRPr="008E52E5">
              <w:rPr>
                <w:rFonts w:ascii="IBM Plex Sans" w:hAnsi="IBM Plex Sans" w:cs="Arial"/>
                <w:b/>
                <w:bCs/>
                <w:i/>
                <w:iCs/>
                <w:color w:val="000000"/>
                <w:sz w:val="19"/>
                <w:szCs w:val="19"/>
                <w:u w:val="single"/>
                <w:lang w:val="en-US"/>
              </w:rPr>
              <w:t xml:space="preserve"> Route</w:t>
            </w:r>
            <w:r w:rsidRPr="008E52E5">
              <w:rPr>
                <w:rFonts w:ascii="IBM Plex Sans" w:hAnsi="IBM Plex Sans" w:cs="Arial"/>
                <w:b/>
                <w:bCs/>
                <w:i/>
                <w:iCs/>
                <w:color w:val="000000"/>
                <w:sz w:val="19"/>
                <w:szCs w:val="19"/>
                <w:lang w:val="en-US"/>
              </w:rPr>
              <w:t xml:space="preserve"> des Dual-Route Cascaded Model </w:t>
            </w:r>
            <w:proofErr w:type="spellStart"/>
            <w:r w:rsidRPr="008E52E5">
              <w:rPr>
                <w:rFonts w:ascii="IBM Plex Sans" w:hAnsi="IBM Plex Sans" w:cs="Arial"/>
                <w:b/>
                <w:bCs/>
                <w:i/>
                <w:iCs/>
                <w:color w:val="000000"/>
                <w:sz w:val="19"/>
                <w:szCs w:val="19"/>
                <w:lang w:val="en-US"/>
              </w:rPr>
              <w:t>nach</w:t>
            </w:r>
            <w:proofErr w:type="spellEnd"/>
            <w:r w:rsidRPr="008E52E5">
              <w:rPr>
                <w:rFonts w:ascii="IBM Plex Sans" w:hAnsi="IBM Plex Sans" w:cs="Arial"/>
                <w:b/>
                <w:bCs/>
                <w:i/>
                <w:iCs/>
                <w:color w:val="000000"/>
                <w:sz w:val="19"/>
                <w:szCs w:val="19"/>
                <w:lang w:val="en-US"/>
              </w:rPr>
              <w:t xml:space="preserve"> Coltheart et al.  (2001) </w:t>
            </w:r>
            <w:proofErr w:type="spellStart"/>
            <w:r w:rsidRPr="008E52E5">
              <w:rPr>
                <w:rFonts w:ascii="IBM Plex Sans" w:hAnsi="IBM Plex Sans" w:cs="Arial"/>
                <w:b/>
                <w:bCs/>
                <w:i/>
                <w:iCs/>
                <w:color w:val="000000"/>
                <w:sz w:val="19"/>
                <w:szCs w:val="19"/>
                <w:lang w:val="en-US"/>
              </w:rPr>
              <w:t>beschreibt</w:t>
            </w:r>
            <w:proofErr w:type="spellEnd"/>
            <w:r w:rsidRPr="008E52E5">
              <w:rPr>
                <w:rFonts w:ascii="IBM Plex Sans" w:hAnsi="IBM Plex Sans" w:cs="Arial"/>
                <w:b/>
                <w:bCs/>
                <w:i/>
                <w:iCs/>
                <w:color w:val="000000"/>
                <w:sz w:val="19"/>
                <w:szCs w:val="19"/>
                <w:lang w:val="en-US"/>
              </w:rPr>
              <w:t xml:space="preserve"> …</w:t>
            </w:r>
          </w:p>
        </w:tc>
      </w:tr>
      <w:tr w:rsidR="00607ABF" w:rsidRPr="008E52E5" w14:paraId="69A8712C" w14:textId="77777777" w:rsidTr="00CA0379">
        <w:tc>
          <w:tcPr>
            <w:tcW w:w="5245" w:type="dxa"/>
            <w:shd w:val="clear" w:color="auto" w:fill="D9D9D9" w:themeFill="background1" w:themeFillShade="D9"/>
            <w:vAlign w:val="center"/>
          </w:tcPr>
          <w:p w14:paraId="62C61026" w14:textId="0B61A559" w:rsidR="00607ABF" w:rsidRPr="008E52E5" w:rsidRDefault="00607ABF" w:rsidP="00607ABF">
            <w:pPr>
              <w:spacing w:before="60" w:afterLines="60" w:after="144"/>
              <w:ind w:right="227"/>
              <w:rPr>
                <w:rFonts w:ascii="IBM Plex Sans" w:hAnsi="IBM Plex Sans"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Wie sind Lesegenauigkeit, -</w:t>
            </w:r>
            <w:proofErr w:type="gramStart"/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geschwindigkeit  und</w:t>
            </w:r>
            <w:proofErr w:type="gramEnd"/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 xml:space="preserve"> -verständnis relationiert (unabhängig, hierarchisch, …)?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6366611D" w14:textId="11A919AB" w:rsidR="00607ABF" w:rsidRPr="008E52E5" w:rsidRDefault="0029035B" w:rsidP="00607ABF">
            <w:pPr>
              <w:spacing w:before="60" w:afterLines="60" w:after="144"/>
              <w:ind w:right="227"/>
              <w:rPr>
                <w:rFonts w:ascii="IBM Plex Sans" w:hAnsi="IBM Plex Sans" w:cs="Arial"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Die meisten </w:t>
            </w:r>
            <w:r w:rsidR="00607ABF" w:rsidRPr="008E52E5">
              <w:rPr>
                <w:rFonts w:ascii="IBM Plex Sans" w:hAnsi="IBM Plex Sans"/>
                <w:color w:val="000000"/>
                <w:sz w:val="19"/>
                <w:szCs w:val="19"/>
              </w:rPr>
              <w:t>empirische</w:t>
            </w:r>
            <w:r w:rsidR="008E52E5">
              <w:rPr>
                <w:rFonts w:ascii="IBM Plex Sans" w:hAnsi="IBM Plex Sans"/>
                <w:color w:val="000000"/>
                <w:sz w:val="19"/>
                <w:szCs w:val="19"/>
              </w:rPr>
              <w:t>n</w:t>
            </w:r>
            <w:r w:rsidR="00607ABF"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 Ergebnisse und theoretische Modelle 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implizieren </w:t>
            </w:r>
            <w:r w:rsidR="00607ABF"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eine </w:t>
            </w:r>
            <w:r w:rsidR="008E52E5" w:rsidRPr="008E52E5">
              <w:rPr>
                <w:rFonts w:ascii="IBM Plex Sans" w:hAnsi="IBM Plex Sans"/>
                <w:color w:val="000000"/>
                <w:sz w:val="19"/>
                <w:szCs w:val="19"/>
              </w:rPr>
              <w:t>Hierarchie</w:t>
            </w:r>
            <w:r w:rsidR="00607ABF"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 (Lesegenauigkeit &lt; -geschwindigkeit &lt; -verständnis)</w:t>
            </w:r>
          </w:p>
        </w:tc>
      </w:tr>
      <w:tr w:rsidR="009059E0" w:rsidRPr="008E52E5" w14:paraId="2B352066" w14:textId="77777777" w:rsidTr="00CA0379">
        <w:tc>
          <w:tcPr>
            <w:tcW w:w="5245" w:type="dxa"/>
            <w:vAlign w:val="center"/>
          </w:tcPr>
          <w:p w14:paraId="18C1ED6B" w14:textId="22350B07" w:rsidR="00607ABF" w:rsidRPr="008E52E5" w:rsidRDefault="0029035B" w:rsidP="0051648E">
            <w:pPr>
              <w:pStyle w:val="StandardWeb"/>
              <w:shd w:val="clear" w:color="auto" w:fill="FFFFFF"/>
              <w:spacing w:before="60" w:beforeAutospacing="0" w:afterLines="60" w:after="144" w:afterAutospacing="0"/>
              <w:ind w:right="227"/>
              <w:rPr>
                <w:rFonts w:ascii="IBM Plex Sans" w:hAnsi="IBM Plex Sans"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Z.B. Lautes Vorlesen von Wortlisten in </w:t>
            </w:r>
            <w:r w:rsid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einem 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>bestimmte</w:t>
            </w:r>
            <w:r w:rsidR="00CA0379">
              <w:rPr>
                <w:rFonts w:ascii="IBM Plex Sans" w:hAnsi="IBM Plex Sans"/>
                <w:color w:val="000000"/>
                <w:sz w:val="19"/>
                <w:szCs w:val="19"/>
              </w:rPr>
              <w:t>n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 Zeitraum – </w:t>
            </w:r>
            <w:r w:rsidR="00CA0379">
              <w:rPr>
                <w:rFonts w:ascii="IBM Plex Sans" w:hAnsi="IBM Plex Sans"/>
                <w:color w:val="000000"/>
                <w:sz w:val="19"/>
                <w:szCs w:val="19"/>
              </w:rPr>
              <w:t xml:space="preserve">die 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Leseflüssigkeit entspricht </w:t>
            </w:r>
            <w:r w:rsidR="00CA0379">
              <w:rPr>
                <w:rFonts w:ascii="IBM Plex Sans" w:hAnsi="IBM Plex Sans"/>
                <w:color w:val="000000"/>
                <w:sz w:val="19"/>
                <w:szCs w:val="19"/>
              </w:rPr>
              <w:t xml:space="preserve">dann 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>der Anzahl korrekt gelesener Wörter. Für eine Messung im Längsschnitt sind Paralleltests (Wortlisten gleicher Länge und Schwierigkeit) notwendig</w:t>
            </w:r>
            <w:r w:rsidR="009059E0" w:rsidRPr="008E52E5">
              <w:rPr>
                <w:rFonts w:ascii="IBM Plex Sans" w:hAnsi="IBM Plex Sans"/>
                <w:color w:val="000000"/>
                <w:sz w:val="19"/>
                <w:szCs w:val="19"/>
              </w:rPr>
              <w:t>.</w:t>
            </w:r>
          </w:p>
        </w:tc>
        <w:tc>
          <w:tcPr>
            <w:tcW w:w="4961" w:type="dxa"/>
            <w:vAlign w:val="center"/>
          </w:tcPr>
          <w:p w14:paraId="62BDECDF" w14:textId="15211837" w:rsidR="00607ABF" w:rsidRPr="008E52E5" w:rsidRDefault="0029035B" w:rsidP="00607ABF">
            <w:pPr>
              <w:pStyle w:val="StandardWeb"/>
              <w:shd w:val="clear" w:color="auto" w:fill="FFFFFF"/>
              <w:spacing w:before="60" w:beforeAutospacing="0" w:afterLines="60" w:after="144" w:afterAutospacing="0"/>
              <w:ind w:left="37" w:hanging="37"/>
              <w:rPr>
                <w:rFonts w:ascii="IBM Plex Sans" w:hAnsi="IBM Plex Sans" w:cs="Arial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 xml:space="preserve">Wie 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kann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man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 xml:space="preserve"> Lese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flüssigkeit messen?</w:t>
            </w:r>
          </w:p>
        </w:tc>
      </w:tr>
      <w:tr w:rsidR="0029035B" w:rsidRPr="008E52E5" w14:paraId="4865DE70" w14:textId="77777777" w:rsidTr="00CA0379">
        <w:tc>
          <w:tcPr>
            <w:tcW w:w="5245" w:type="dxa"/>
            <w:shd w:val="clear" w:color="auto" w:fill="D9D9D9" w:themeFill="background1" w:themeFillShade="D9"/>
            <w:vAlign w:val="center"/>
          </w:tcPr>
          <w:p w14:paraId="6F0E7538" w14:textId="41BC31C7" w:rsidR="0029035B" w:rsidRPr="008E52E5" w:rsidRDefault="0029035B" w:rsidP="0029035B">
            <w:pPr>
              <w:spacing w:before="60" w:afterLines="60" w:after="144"/>
              <w:ind w:right="227"/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Wie kann man Lese</w:t>
            </w:r>
            <w:r w:rsidR="009059E0"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 xml:space="preserve">verständnis </w:t>
            </w: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messen?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18B3E506" w14:textId="4B9FFCE6" w:rsidR="0029035B" w:rsidRPr="008E52E5" w:rsidRDefault="009059E0" w:rsidP="0029035B">
            <w:pPr>
              <w:spacing w:before="60" w:afterLines="60" w:after="144"/>
              <w:ind w:right="227"/>
              <w:rPr>
                <w:rFonts w:ascii="IBM Plex Sans" w:hAnsi="IBM Plex Sans"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Auf Wortebene: Z.B. </w:t>
            </w:r>
            <w:r w:rsidR="008E52E5">
              <w:rPr>
                <w:rFonts w:ascii="IBM Plex Sans" w:hAnsi="IBM Plex Sans"/>
                <w:color w:val="000000"/>
                <w:sz w:val="19"/>
                <w:szCs w:val="19"/>
              </w:rPr>
              <w:t>Z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>uordnung von Wort und Bild</w:t>
            </w:r>
            <w:r w:rsidR="00CA0379">
              <w:rPr>
                <w:rFonts w:ascii="IBM Plex Sans" w:hAnsi="IBM Plex Sans"/>
                <w:color w:val="000000"/>
                <w:sz w:val="19"/>
                <w:szCs w:val="19"/>
              </w:rPr>
              <w:t>.</w:t>
            </w:r>
            <w:r w:rsidR="00CA0379">
              <w:rPr>
                <w:rFonts w:ascii="IBM Plex Sans" w:hAnsi="IBM Plex Sans"/>
                <w:color w:val="000000"/>
                <w:sz w:val="19"/>
                <w:szCs w:val="19"/>
              </w:rPr>
              <w:br/>
              <w:t>A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>uf Satz</w:t>
            </w:r>
            <w:r w:rsidR="00CA0379">
              <w:rPr>
                <w:rFonts w:ascii="IBM Plex Sans" w:hAnsi="IBM Plex Sans"/>
                <w:color w:val="000000"/>
                <w:sz w:val="19"/>
                <w:szCs w:val="19"/>
              </w:rPr>
              <w:t>-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 und Textebene: z.B. Single Choice Items. 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>Für eine Messung im Längsschnitt sind Paralleltests (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>Items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 gleicher Länge und Schwierigkeit) notwendig.</w:t>
            </w:r>
          </w:p>
        </w:tc>
      </w:tr>
      <w:tr w:rsidR="009059E0" w:rsidRPr="008E52E5" w14:paraId="0F7160FE" w14:textId="77777777" w:rsidTr="00CA0379">
        <w:tc>
          <w:tcPr>
            <w:tcW w:w="5245" w:type="dxa"/>
            <w:shd w:val="clear" w:color="auto" w:fill="auto"/>
            <w:vAlign w:val="center"/>
          </w:tcPr>
          <w:p w14:paraId="661C6DFF" w14:textId="597267A7" w:rsidR="009059E0" w:rsidRPr="008E52E5" w:rsidRDefault="009059E0" w:rsidP="0029035B">
            <w:pPr>
              <w:spacing w:before="60" w:afterLines="60" w:after="144"/>
              <w:ind w:right="227"/>
              <w:rPr>
                <w:rFonts w:ascii="IBM Plex Sans" w:hAnsi="IBM Plex Sans"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>Beide stellen einen Leistungsstand fest. S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>ummatives Assessment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 bewertet diesen anschließend entlang einer Bezugsnorm retrospektiv. Formatives Assessment diagnostiziert den Abstand eines Lernstandes zu einem Lernziel</w:t>
            </w:r>
            <w:r w:rsidR="008E52E5" w:rsidRPr="008E52E5">
              <w:rPr>
                <w:rFonts w:ascii="IBM Plex Sans" w:hAnsi="IBM Plex Sans"/>
                <w:color w:val="000000"/>
                <w:sz w:val="19"/>
                <w:szCs w:val="19"/>
              </w:rPr>
              <w:t>,</w:t>
            </w: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 xml:space="preserve"> um die nächsten Lernschritte zu optimieren (prospektiv).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6BB4BADB" w14:textId="0CC2F7AB" w:rsidR="009059E0" w:rsidRPr="008E52E5" w:rsidRDefault="009059E0" w:rsidP="0029035B">
            <w:pPr>
              <w:spacing w:before="60" w:afterLines="60" w:after="144"/>
              <w:ind w:right="227"/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Was haben Formatives und Summatives Assessment gemeinsam? Was unterscheidet sie?</w:t>
            </w:r>
          </w:p>
        </w:tc>
      </w:tr>
      <w:tr w:rsidR="009059E0" w:rsidRPr="008E52E5" w14:paraId="495DB8DD" w14:textId="77777777" w:rsidTr="00CA0379">
        <w:tc>
          <w:tcPr>
            <w:tcW w:w="5245" w:type="dxa"/>
            <w:shd w:val="clear" w:color="auto" w:fill="D9D9D9" w:themeFill="background1" w:themeFillShade="D9"/>
            <w:vAlign w:val="center"/>
          </w:tcPr>
          <w:p w14:paraId="1D05EEE9" w14:textId="2EA41125" w:rsidR="009059E0" w:rsidRPr="008E52E5" w:rsidRDefault="009059E0" w:rsidP="0029035B">
            <w:pPr>
              <w:spacing w:before="60" w:afterLines="60" w:after="144"/>
              <w:ind w:right="227"/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 xml:space="preserve">Was haben Lernverlaufs- von </w:t>
            </w:r>
            <w:proofErr w:type="spellStart"/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>Lernstandsdiagnostik</w:t>
            </w:r>
            <w:proofErr w:type="spellEnd"/>
            <w:r w:rsidRPr="008E52E5">
              <w:rPr>
                <w:rFonts w:ascii="IBM Plex Sans" w:hAnsi="IBM Plex Sans"/>
                <w:b/>
                <w:bCs/>
                <w:i/>
                <w:iCs/>
                <w:color w:val="000000"/>
                <w:sz w:val="19"/>
                <w:szCs w:val="19"/>
              </w:rPr>
              <w:t xml:space="preserve"> gemeinsam? Was unterscheidet sie?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07AB1553" w14:textId="5CA3E12A" w:rsidR="009059E0" w:rsidRPr="008E52E5" w:rsidRDefault="009059E0" w:rsidP="0029035B">
            <w:pPr>
              <w:spacing w:before="60" w:afterLines="60" w:after="144"/>
              <w:ind w:right="227"/>
              <w:rPr>
                <w:rFonts w:ascii="IBM Plex Sans" w:hAnsi="IBM Plex Sans"/>
                <w:color w:val="000000"/>
                <w:sz w:val="19"/>
                <w:szCs w:val="19"/>
              </w:rPr>
            </w:pPr>
            <w:r w:rsidRPr="008E52E5">
              <w:rPr>
                <w:rFonts w:ascii="IBM Plex Sans" w:hAnsi="IBM Plex Sans"/>
                <w:color w:val="000000"/>
                <w:sz w:val="19"/>
                <w:szCs w:val="19"/>
              </w:rPr>
              <w:t>Beides sind Formative Assessments, die Lernverlaufsdiagnostik ist jedoch längsschnittlich.</w:t>
            </w:r>
          </w:p>
        </w:tc>
      </w:tr>
      <w:tr w:rsidR="0029035B" w:rsidRPr="008E52E5" w14:paraId="6649D3B4" w14:textId="77777777" w:rsidTr="00CA0379">
        <w:tc>
          <w:tcPr>
            <w:tcW w:w="10206" w:type="dxa"/>
            <w:gridSpan w:val="2"/>
            <w:vAlign w:val="center"/>
          </w:tcPr>
          <w:p w14:paraId="6BF101E6" w14:textId="1853BE7E" w:rsidR="0029035B" w:rsidRPr="008E52E5" w:rsidRDefault="0029035B" w:rsidP="0029035B">
            <w:pPr>
              <w:pStyle w:val="StandardWeb"/>
              <w:shd w:val="clear" w:color="auto" w:fill="FFFFFF"/>
              <w:spacing w:before="60" w:beforeAutospacing="0" w:afterLines="60" w:after="144" w:afterAutospacing="0"/>
              <w:ind w:right="227"/>
              <w:jc w:val="center"/>
              <w:rPr>
                <w:rFonts w:ascii="IBM Plex Sans" w:hAnsi="IBM Plex Sans"/>
                <w:sz w:val="19"/>
                <w:szCs w:val="19"/>
              </w:rPr>
            </w:pPr>
            <w:r w:rsidRPr="008E52E5">
              <w:rPr>
                <w:rFonts w:ascii="IBM Plex Sans" w:hAnsi="IBM Plex Sans" w:cs="Arial"/>
                <w:b/>
                <w:bCs/>
                <w:i/>
                <w:iCs/>
                <w:sz w:val="19"/>
                <w:szCs w:val="19"/>
              </w:rPr>
              <w:t xml:space="preserve">Bietet man Versuchspersonen </w:t>
            </w:r>
            <w:r w:rsidRPr="008E52E5">
              <w:rPr>
                <w:rFonts w:ascii="IBM Plex Sans" w:hAnsi="IBM Plex Sans" w:cs="Arial"/>
                <w:b/>
                <w:bCs/>
                <w:i/>
                <w:iCs/>
                <w:sz w:val="19"/>
                <w:szCs w:val="19"/>
              </w:rPr>
              <w:t xml:space="preserve">abwechseln Wörter und </w:t>
            </w:r>
            <w:r w:rsidRPr="008E52E5">
              <w:rPr>
                <w:rFonts w:ascii="IBM Plex Sans" w:hAnsi="IBM Plex Sans" w:cs="Arial"/>
                <w:b/>
                <w:bCs/>
                <w:i/>
                <w:iCs/>
                <w:sz w:val="19"/>
                <w:szCs w:val="19"/>
              </w:rPr>
              <w:t xml:space="preserve">Pseudowörter (d. h. wortähnliche, aber sinnlose Zeichenketten) </w:t>
            </w:r>
            <w:r w:rsidRPr="008E52E5">
              <w:rPr>
                <w:rFonts w:ascii="IBM Plex Sans" w:hAnsi="IBM Plex Sans" w:cs="Arial"/>
                <w:b/>
                <w:bCs/>
                <w:i/>
                <w:iCs/>
                <w:sz w:val="19"/>
                <w:szCs w:val="19"/>
              </w:rPr>
              <w:t xml:space="preserve">für wenige Millisekunden </w:t>
            </w:r>
            <w:r w:rsidRPr="008E52E5">
              <w:rPr>
                <w:rFonts w:ascii="IBM Plex Sans" w:hAnsi="IBM Plex Sans" w:cs="Arial"/>
                <w:b/>
                <w:bCs/>
                <w:i/>
                <w:iCs/>
                <w:sz w:val="19"/>
                <w:szCs w:val="19"/>
              </w:rPr>
              <w:t>dar</w:t>
            </w:r>
            <w:r w:rsidRPr="008E52E5">
              <w:rPr>
                <w:rFonts w:ascii="IBM Plex Sans" w:hAnsi="IBM Plex Sans" w:cs="Arial"/>
                <w:b/>
                <w:bCs/>
                <w:i/>
                <w:iCs/>
                <w:sz w:val="19"/>
                <w:szCs w:val="19"/>
              </w:rPr>
              <w:t>,</w:t>
            </w:r>
            <w:r w:rsidRPr="008E52E5">
              <w:rPr>
                <w:rFonts w:ascii="IBM Plex Sans" w:hAnsi="IBM Plex Sans" w:cs="Arial"/>
                <w:b/>
                <w:bCs/>
                <w:i/>
                <w:iCs/>
                <w:sz w:val="19"/>
                <w:szCs w:val="19"/>
              </w:rPr>
              <w:t xml:space="preserve"> </w:t>
            </w:r>
            <w:r w:rsidRPr="008E52E5">
              <w:rPr>
                <w:rFonts w:ascii="IBM Plex Sans" w:hAnsi="IBM Plex Sans" w:cs="Arial"/>
                <w:b/>
                <w:bCs/>
                <w:i/>
                <w:iCs/>
                <w:sz w:val="19"/>
                <w:szCs w:val="19"/>
              </w:rPr>
              <w:t xml:space="preserve">unterscheiden sich die Ergebnisse in der Merkleistung für </w:t>
            </w:r>
            <w:r w:rsidRPr="008E52E5">
              <w:rPr>
                <w:rFonts w:ascii="IBM Plex Sans" w:hAnsi="IBM Plex Sans" w:cs="Arial"/>
                <w:b/>
                <w:bCs/>
                <w:i/>
                <w:iCs/>
                <w:sz w:val="19"/>
                <w:szCs w:val="19"/>
              </w:rPr>
              <w:t xml:space="preserve">Wörter </w:t>
            </w:r>
            <w:r w:rsidRPr="008E52E5">
              <w:rPr>
                <w:rFonts w:ascii="IBM Plex Sans" w:hAnsi="IBM Plex Sans" w:cs="Arial"/>
                <w:b/>
                <w:bCs/>
                <w:i/>
                <w:iCs/>
                <w:sz w:val="19"/>
                <w:szCs w:val="19"/>
              </w:rPr>
              <w:t>vs.</w:t>
            </w:r>
            <w:r w:rsidRPr="008E52E5">
              <w:rPr>
                <w:rFonts w:ascii="IBM Plex Sans" w:hAnsi="IBM Plex Sans" w:cs="Arial"/>
                <w:b/>
                <w:bCs/>
                <w:i/>
                <w:iCs/>
                <w:sz w:val="19"/>
                <w:szCs w:val="19"/>
              </w:rPr>
              <w:t xml:space="preserve"> Pseudowörter</w:t>
            </w:r>
            <w:r w:rsidRPr="008E52E5">
              <w:rPr>
                <w:rFonts w:ascii="IBM Plex Sans" w:hAnsi="IBM Plex Sans" w:cs="Arial"/>
                <w:b/>
                <w:bCs/>
                <w:i/>
                <w:iCs/>
                <w:sz w:val="19"/>
                <w:szCs w:val="19"/>
              </w:rPr>
              <w:t xml:space="preserve"> bei ungeübten </w:t>
            </w:r>
            <w:proofErr w:type="spellStart"/>
            <w:proofErr w:type="gramStart"/>
            <w:r w:rsidRPr="008E52E5">
              <w:rPr>
                <w:rFonts w:ascii="IBM Plex Sans" w:hAnsi="IBM Plex Sans" w:cs="Arial"/>
                <w:b/>
                <w:bCs/>
                <w:i/>
                <w:iCs/>
                <w:sz w:val="19"/>
                <w:szCs w:val="19"/>
              </w:rPr>
              <w:t>Leser:innen</w:t>
            </w:r>
            <w:proofErr w:type="spellEnd"/>
            <w:proofErr w:type="gramEnd"/>
            <w:r w:rsidRPr="008E52E5">
              <w:rPr>
                <w:rFonts w:ascii="IBM Plex Sans" w:hAnsi="IBM Plex Sans" w:cs="Arial"/>
                <w:b/>
                <w:bCs/>
                <w:i/>
                <w:iCs/>
                <w:sz w:val="19"/>
                <w:szCs w:val="19"/>
              </w:rPr>
              <w:t xml:space="preserve"> kaum, bei geübten </w:t>
            </w:r>
            <w:proofErr w:type="spellStart"/>
            <w:r w:rsidRPr="008E52E5">
              <w:rPr>
                <w:rFonts w:ascii="IBM Plex Sans" w:hAnsi="IBM Plex Sans" w:cs="Arial"/>
                <w:b/>
                <w:bCs/>
                <w:i/>
                <w:iCs/>
                <w:sz w:val="19"/>
                <w:szCs w:val="19"/>
              </w:rPr>
              <w:t>Leser:innen</w:t>
            </w:r>
            <w:proofErr w:type="spellEnd"/>
            <w:r w:rsidRPr="008E52E5">
              <w:rPr>
                <w:rFonts w:ascii="IBM Plex Sans" w:hAnsi="IBM Plex Sans" w:cs="Arial"/>
                <w:b/>
                <w:bCs/>
                <w:i/>
                <w:iCs/>
                <w:sz w:val="19"/>
                <w:szCs w:val="19"/>
              </w:rPr>
              <w:t xml:space="preserve"> aber stark.</w:t>
            </w:r>
          </w:p>
          <w:p w14:paraId="51F605D0" w14:textId="4155C526" w:rsidR="0029035B" w:rsidRPr="008E52E5" w:rsidRDefault="0029035B" w:rsidP="0029035B">
            <w:pPr>
              <w:pStyle w:val="StandardWeb"/>
              <w:shd w:val="clear" w:color="auto" w:fill="FFFFFF"/>
              <w:spacing w:before="60" w:beforeAutospacing="0" w:afterLines="60" w:after="144" w:afterAutospacing="0"/>
              <w:ind w:left="227"/>
              <w:jc w:val="center"/>
              <w:rPr>
                <w:rFonts w:ascii="IBM Plex Sans" w:hAnsi="IBM Plex Sans"/>
                <w:sz w:val="19"/>
                <w:szCs w:val="19"/>
              </w:rPr>
            </w:pPr>
            <w:r w:rsidRPr="008E52E5">
              <w:rPr>
                <w:rFonts w:ascii="IBM Plex Sans" w:hAnsi="IBM Plex Sans"/>
                <w:sz w:val="19"/>
                <w:szCs w:val="19"/>
              </w:rPr>
              <w:t xml:space="preserve">Stellt dieser Befund Evidenz für oder gegen das </w:t>
            </w:r>
            <w:r w:rsidRPr="008E52E5">
              <w:rPr>
                <w:rFonts w:ascii="IBM Plex Sans" w:hAnsi="IBM Plex Sans"/>
                <w:i/>
                <w:iCs/>
                <w:sz w:val="19"/>
                <w:szCs w:val="19"/>
              </w:rPr>
              <w:t xml:space="preserve">Dual-Route </w:t>
            </w:r>
            <w:proofErr w:type="spellStart"/>
            <w:r w:rsidRPr="008E52E5">
              <w:rPr>
                <w:rFonts w:ascii="IBM Plex Sans" w:hAnsi="IBM Plex Sans"/>
                <w:i/>
                <w:iCs/>
                <w:sz w:val="19"/>
                <w:szCs w:val="19"/>
              </w:rPr>
              <w:t>Cascaded</w:t>
            </w:r>
            <w:proofErr w:type="spellEnd"/>
            <w:r w:rsidRPr="008E52E5">
              <w:rPr>
                <w:rFonts w:ascii="IBM Plex Sans" w:hAnsi="IBM Plex Sans"/>
                <w:i/>
                <w:iCs/>
                <w:sz w:val="19"/>
                <w:szCs w:val="19"/>
              </w:rPr>
              <w:t xml:space="preserve"> Model</w:t>
            </w:r>
            <w:r w:rsidRPr="008E52E5">
              <w:rPr>
                <w:rFonts w:ascii="IBM Plex Sans" w:hAnsi="IBM Plex Sans"/>
                <w:i/>
                <w:iCs/>
                <w:sz w:val="19"/>
                <w:szCs w:val="19"/>
              </w:rPr>
              <w:t xml:space="preserve"> dar?</w:t>
            </w:r>
          </w:p>
        </w:tc>
      </w:tr>
    </w:tbl>
    <w:p w14:paraId="53281E8F" w14:textId="77777777" w:rsidR="00185F38" w:rsidRPr="009B3C57" w:rsidRDefault="00185F38" w:rsidP="00752515">
      <w:pPr>
        <w:rPr>
          <w:rFonts w:ascii="IBM Plex Sans" w:hAnsi="IBM Plex Sans"/>
        </w:rPr>
      </w:pPr>
    </w:p>
    <w:sectPr w:rsidR="00185F38" w:rsidRPr="009B3C57" w:rsidSect="008E52E5">
      <w:pgSz w:w="11906" w:h="16838"/>
      <w:pgMar w:top="465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15"/>
    <w:rsid w:val="00185F38"/>
    <w:rsid w:val="0029035B"/>
    <w:rsid w:val="00296649"/>
    <w:rsid w:val="0039628D"/>
    <w:rsid w:val="003A21D7"/>
    <w:rsid w:val="0051648E"/>
    <w:rsid w:val="00552E3D"/>
    <w:rsid w:val="00554F2F"/>
    <w:rsid w:val="00564633"/>
    <w:rsid w:val="00607ABF"/>
    <w:rsid w:val="00752515"/>
    <w:rsid w:val="00865284"/>
    <w:rsid w:val="008B50B0"/>
    <w:rsid w:val="008E52E5"/>
    <w:rsid w:val="009059E0"/>
    <w:rsid w:val="009B3C57"/>
    <w:rsid w:val="00A35D0B"/>
    <w:rsid w:val="00AB31AF"/>
    <w:rsid w:val="00B21BFE"/>
    <w:rsid w:val="00BB1FC6"/>
    <w:rsid w:val="00C200A9"/>
    <w:rsid w:val="00C945CD"/>
    <w:rsid w:val="00CA0379"/>
    <w:rsid w:val="00CD5152"/>
    <w:rsid w:val="00D87076"/>
    <w:rsid w:val="00DB485F"/>
    <w:rsid w:val="00E37C68"/>
    <w:rsid w:val="00F26F6A"/>
    <w:rsid w:val="00FA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4CF5D"/>
  <w15:chartTrackingRefBased/>
  <w15:docId w15:val="{CC597092-5CE6-B549-9158-7F8AA505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52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2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752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5164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51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9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9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0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5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2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7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1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4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SamuelJ Merk</dc:creator>
  <cp:keywords/>
  <dc:description/>
  <cp:lastModifiedBy>SamuelJ Merk</cp:lastModifiedBy>
  <cp:revision>5</cp:revision>
  <cp:lastPrinted>2024-10-30T06:27:00Z</cp:lastPrinted>
  <dcterms:created xsi:type="dcterms:W3CDTF">2024-10-28T06:14:00Z</dcterms:created>
  <dcterms:modified xsi:type="dcterms:W3CDTF">2024-10-30T06:27:00Z</dcterms:modified>
</cp:coreProperties>
</file>