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udienleistung"/>
    <w:p>
      <w:pPr>
        <w:pStyle w:val="Heading1"/>
      </w:pPr>
      <w:r>
        <w:t xml:space="preserve">Studienleistung</w:t>
      </w:r>
    </w:p>
    <w:bookmarkStart w:id="23" w:name="diagnostik"/>
    <w:p>
      <w:pPr>
        <w:pStyle w:val="Heading2"/>
      </w:pPr>
      <w:r>
        <w:t xml:space="preserve">Diagnostik</w:t>
      </w:r>
    </w:p>
    <w:p>
      <w:pPr>
        <w:pStyle w:val="FirstParagraph"/>
      </w:pPr>
      <w:r>
        <w:t xml:space="preserve">In folgender Abbildung finden Sie Leselernverläufe einer Schülerin bzw. eines Schülers, dargestellt als Messwerte der Lesegenauigkeit, Leseflüssigkeit und Leseverständnis vor repräsentativen 62% Perzentilbändern.</w:t>
      </w:r>
    </w:p>
    <w:p>
      <w:pPr>
        <w:pStyle w:val="CaptionedFigure"/>
      </w:pPr>
      <w:r>
        <w:drawing>
          <wp:inline>
            <wp:extent cx="5334000" cy="1271356"/>
            <wp:effectExtent b="0" l="0" r="0" t="0"/>
            <wp:docPr descr="Leselernverlauf" title="" id="21" name="Picture"/>
            <a:graphic>
              <a:graphicData uri="http://schemas.openxmlformats.org/drawingml/2006/picture">
                <pic:pic>
                  <pic:nvPicPr>
                    <pic:cNvPr descr="Abb_Leselernverläufe/LV_SL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Leselernverlauf</w:t>
      </w:r>
    </w:p>
    <w:bookmarkEnd w:id="23"/>
    <w:bookmarkStart w:id="24" w:name="aufgabe"/>
    <w:p>
      <w:pPr>
        <w:pStyle w:val="Heading2"/>
      </w:pPr>
      <w:r>
        <w:t xml:space="preserve">Aufgabe</w:t>
      </w:r>
    </w:p>
    <w:p>
      <w:pPr>
        <w:pStyle w:val="Compact"/>
        <w:numPr>
          <w:ilvl w:val="0"/>
          <w:numId w:val="1001"/>
        </w:numPr>
      </w:pPr>
      <w:r>
        <w:t xml:space="preserve">Beschreiben Sie die Leselernverläufe der Schülerin bzw. des Schülers unter Verwendung der individuellen</w:t>
      </w:r>
      <w:r>
        <w:t xml:space="preserve"> </w:t>
      </w:r>
      <w:r>
        <w:rPr>
          <w:b/>
          <w:bCs/>
        </w:rPr>
        <w:t xml:space="preserve">und</w:t>
      </w:r>
      <w:r>
        <w:t xml:space="preserve"> </w:t>
      </w:r>
      <w:r>
        <w:t xml:space="preserve">der sozialen Bezugsnorm.</w:t>
      </w:r>
    </w:p>
    <w:p>
      <w:pPr>
        <w:pStyle w:val="Compact"/>
        <w:numPr>
          <w:ilvl w:val="0"/>
          <w:numId w:val="1001"/>
        </w:numPr>
      </w:pPr>
      <w:r>
        <w:t xml:space="preserve">Erläutern Sie, welche diagnostischen Schlüsse Sie aus den Leselernverläufen ziehen können.</w:t>
      </w:r>
    </w:p>
    <w:p>
      <w:r>
        <w:pict>
          <v:rect style="width:0;height:1.5pt" o:hralign="center" o:hrstd="t" o:hr="t"/>
        </w:pict>
      </w:r>
    </w:p>
    <w:bookmarkEnd w:id="24"/>
    <w:bookmarkStart w:id="25" w:name="lösung"/>
    <w:p>
      <w:pPr>
        <w:pStyle w:val="Heading2"/>
      </w:pPr>
      <w:r>
        <w:t xml:space="preserve">Lösung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2025-04-30T04:39:36Z</dcterms:created>
  <dcterms:modified xsi:type="dcterms:W3CDTF">2025-04-30T04:39:36Z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toc-title">
    <vt:lpwstr>Table of contents</vt:lpwstr>
  </property>
</Properties>
</file>