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jasmin-manita-braun"/>
    <w:p>
      <w:pPr>
        <w:pStyle w:val="Heading1"/>
      </w:pPr>
      <w:r>
        <w:t xml:space="preserve">Studienleistung von Jasmin Manita Braun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57% Perzentilbändern.</w:t>
      </w:r>
    </w:p>
    <w:p>
      <w:pPr>
        <w:pStyle w:val="CaptionedFigure"/>
      </w:pPr>
      <w:r>
        <w:drawing>
          <wp:inline>
            <wp:extent cx="5334000" cy="1270000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2024-11-09T07:24:03Z</dcterms:created>
  <dcterms:modified xsi:type="dcterms:W3CDTF">2024-11-09T07:24:03Z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