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asmin-pehlivan"/>
    <w:p>
      <w:pPr>
        <w:pStyle w:val="Heading1"/>
      </w:pPr>
      <w:r>
        <w:t xml:space="preserve">Studienleistung von Jasmin Pehlivan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54% Perzentilbändern.</w:t>
      </w:r>
    </w:p>
    <w:p>
      <w:pPr>
        <w:pStyle w:val="CaptionedFigure"/>
      </w:pPr>
      <w:r>
        <w:drawing>
          <wp:inline>
            <wp:extent cx="5334000" cy="1274507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2024-11-09T07:25:00Z</dcterms:created>
  <dcterms:modified xsi:type="dcterms:W3CDTF">2024-11-09T07:25:00Z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