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paula-marlen-schwarz"/>
    <w:p>
      <w:pPr>
        <w:pStyle w:val="Heading1"/>
      </w:pPr>
      <w:r>
        <w:t xml:space="preserve">Studienleistung von Paula Marlen Schwarz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70% Perzentilbändern.</w:t>
      </w:r>
    </w:p>
    <w:p>
      <w:pPr>
        <w:pStyle w:val="CaptionedFigure"/>
      </w:pPr>
      <w:r>
        <w:drawing>
          <wp:inline>
            <wp:extent cx="5334000" cy="1309513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16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09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2024-11-09T07:25:18Z</dcterms:created>
  <dcterms:modified xsi:type="dcterms:W3CDTF">2024-11-09T07:25:18Z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